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3CDC" w14:textId="77777777" w:rsidR="009A1B36" w:rsidRDefault="00462D93" w:rsidP="009A1B36">
      <w:pPr>
        <w:pStyle w:val="Encabezado"/>
        <w:tabs>
          <w:tab w:val="clear" w:pos="8838"/>
          <w:tab w:val="right" w:pos="9356"/>
        </w:tabs>
        <w:jc w:val="right"/>
        <w:rPr>
          <w:rStyle w:val="Arial11"/>
        </w:rPr>
      </w:pPr>
      <w:sdt>
        <w:sdtPr>
          <w:rPr>
            <w:rStyle w:val="Arial11"/>
            <w:b/>
          </w:rPr>
          <w:tag w:val="1"/>
          <w:id w:val="193794976"/>
          <w:placeholder>
            <w:docPart w:val="FE32D6CBBC9A4486A3C596F607555E3F"/>
          </w:placeholder>
          <w:showingPlcHdr/>
          <w:docPartList>
            <w:docPartGallery w:val="Quick Parts"/>
          </w:docPartList>
        </w:sdtPr>
        <w:sdtEndPr>
          <w:rPr>
            <w:rStyle w:val="Arial11"/>
          </w:rPr>
        </w:sdtEndPr>
        <w:sdtContent>
          <w:r w:rsidR="009A1B36" w:rsidRPr="00A558E1">
            <w:rPr>
              <w:rStyle w:val="Arial11"/>
              <w:i/>
              <w:color w:val="808080" w:themeColor="background1" w:themeShade="80"/>
              <w:sz w:val="16"/>
              <w:szCs w:val="16"/>
            </w:rPr>
            <w:t>(1 Subsecretaría, Oficialía Mayor o Coordinación)</w:t>
          </w:r>
        </w:sdtContent>
      </w:sdt>
    </w:p>
    <w:sdt>
      <w:sdtPr>
        <w:rPr>
          <w:rStyle w:val="Arial11"/>
          <w:color w:val="808080" w:themeColor="background1" w:themeShade="80"/>
          <w:szCs w:val="16"/>
        </w:rPr>
        <w:tag w:val="2"/>
        <w:id w:val="193794982"/>
        <w:placeholder>
          <w:docPart w:val="564DA0559B25473B9A9D986F4A77223D"/>
        </w:placeholder>
        <w:showingPlcHdr/>
        <w:docPartList>
          <w:docPartGallery w:val="Quick Parts"/>
        </w:docPartList>
      </w:sdtPr>
      <w:sdtEndPr>
        <w:rPr>
          <w:rStyle w:val="Arial11"/>
        </w:rPr>
      </w:sdtEndPr>
      <w:sdtContent>
        <w:p w14:paraId="3ED9A8ED" w14:textId="77777777" w:rsidR="009A1B36" w:rsidRDefault="009A1B36" w:rsidP="009A1B36">
          <w:pPr>
            <w:pStyle w:val="Encabezado"/>
            <w:tabs>
              <w:tab w:val="right" w:pos="9356"/>
            </w:tabs>
            <w:jc w:val="right"/>
            <w:rPr>
              <w:rStyle w:val="Arial11"/>
              <w:rFonts w:cs="Arial"/>
              <w:color w:val="808080" w:themeColor="background1" w:themeShade="80"/>
              <w:szCs w:val="16"/>
            </w:rPr>
          </w:pPr>
          <w:r>
            <w:rPr>
              <w:rFonts w:ascii="Arial" w:hAnsi="Arial" w:cs="Arial"/>
              <w:i/>
              <w:color w:val="808080" w:themeColor="background1" w:themeShade="80"/>
              <w:sz w:val="16"/>
              <w:szCs w:val="16"/>
            </w:rPr>
            <w:t>(2 Nombre de la Unidad Administrativa responsable de la contratación)</w:t>
          </w:r>
        </w:p>
      </w:sdtContent>
    </w:sdt>
    <w:p w14:paraId="3F32603E" w14:textId="77777777" w:rsidR="009A1B36" w:rsidRDefault="00462D93" w:rsidP="009A1B36">
      <w:pPr>
        <w:pStyle w:val="Encabezado"/>
        <w:tabs>
          <w:tab w:val="clear" w:pos="4419"/>
          <w:tab w:val="clear" w:pos="8838"/>
          <w:tab w:val="center" w:pos="4464"/>
        </w:tabs>
        <w:ind w:left="108"/>
        <w:jc w:val="right"/>
        <w:rPr>
          <w:rFonts w:ascii="Times New Roman" w:eastAsia="Times New Roman" w:hAnsi="Times New Roman"/>
          <w:sz w:val="20"/>
          <w:szCs w:val="20"/>
          <w:lang w:val="es-ES" w:eastAsia="es-ES"/>
        </w:rPr>
      </w:pPr>
      <w:sdt>
        <w:sdtPr>
          <w:rPr>
            <w:rStyle w:val="Arial11"/>
            <w:b/>
          </w:rPr>
          <w:tag w:val="3"/>
          <w:id w:val="193794988"/>
          <w:placeholder>
            <w:docPart w:val="BC186A480A61439194D9019A7CA93E75"/>
          </w:placeholder>
          <w:showingPlcHdr/>
          <w:docPartList>
            <w:docPartGallery w:val="Quick Parts"/>
          </w:docPartList>
        </w:sdtPr>
        <w:sdtEndPr>
          <w:rPr>
            <w:rStyle w:val="Arial11"/>
          </w:rPr>
        </w:sdtEndPr>
        <w:sdtContent>
          <w:r w:rsidR="009A1B36" w:rsidRPr="00A558E1">
            <w:rPr>
              <w:rStyle w:val="Arial11"/>
              <w:i/>
              <w:color w:val="808080" w:themeColor="background1" w:themeShade="80"/>
              <w:sz w:val="16"/>
              <w:szCs w:val="16"/>
            </w:rPr>
            <w:t>(3 Nombre del área responsable de la contratación)</w:t>
          </w:r>
        </w:sdtContent>
      </w:sdt>
    </w:p>
    <w:p w14:paraId="0AA303B1" w14:textId="77777777" w:rsidR="009A1B36" w:rsidRPr="00C56EB7" w:rsidRDefault="009A1B36" w:rsidP="009A1B36">
      <w:pPr>
        <w:pStyle w:val="Encabezado"/>
        <w:jc w:val="right"/>
        <w:rPr>
          <w:rFonts w:ascii="Arial" w:hAnsi="Arial" w:cs="Arial"/>
          <w:sz w:val="20"/>
          <w:szCs w:val="20"/>
          <w:lang w:val="es-ES"/>
        </w:rPr>
      </w:pPr>
    </w:p>
    <w:p w14:paraId="5450E5A1" w14:textId="77777777" w:rsidR="009A1B36" w:rsidRDefault="009A1B36" w:rsidP="00C56EB7">
      <w:pPr>
        <w:jc w:val="right"/>
        <w:rPr>
          <w:b/>
        </w:rPr>
      </w:pPr>
    </w:p>
    <w:p w14:paraId="4597344C" w14:textId="04087A85" w:rsidR="00C56EB7" w:rsidRPr="006925A6" w:rsidRDefault="00C56EB7" w:rsidP="00C56EB7">
      <w:pPr>
        <w:jc w:val="right"/>
        <w:rPr>
          <w:b/>
        </w:rPr>
      </w:pPr>
      <w:r w:rsidRPr="006925A6">
        <w:rPr>
          <w:b/>
        </w:rPr>
        <w:t>FORMATO 20</w:t>
      </w:r>
    </w:p>
    <w:p w14:paraId="0F826FCE" w14:textId="77777777" w:rsidR="00C56EB7" w:rsidRPr="008E0FCE" w:rsidRDefault="00C56EB7" w:rsidP="00C56EB7">
      <w:pPr>
        <w:pStyle w:val="Textoindependiente"/>
        <w:tabs>
          <w:tab w:val="left" w:pos="1245"/>
          <w:tab w:val="right" w:pos="7308"/>
        </w:tabs>
        <w:jc w:val="right"/>
        <w:rPr>
          <w:rFonts w:ascii="Arial" w:hAnsi="Arial" w:cs="Arial"/>
          <w:i/>
          <w:color w:val="808080" w:themeColor="background1" w:themeShade="80"/>
          <w:sz w:val="16"/>
          <w:szCs w:val="16"/>
        </w:rPr>
      </w:pPr>
      <w:r w:rsidRPr="008E0FCE">
        <w:rPr>
          <w:rFonts w:ascii="Arial" w:hAnsi="Arial" w:cs="Arial"/>
          <w:i/>
          <w:color w:val="808080" w:themeColor="background1" w:themeShade="80"/>
          <w:sz w:val="16"/>
          <w:szCs w:val="16"/>
        </w:rPr>
        <w:t>_________</w:t>
      </w:r>
      <w:proofErr w:type="gramStart"/>
      <w:r w:rsidRPr="008E0FCE">
        <w:rPr>
          <w:rFonts w:ascii="Arial" w:hAnsi="Arial" w:cs="Arial"/>
          <w:i/>
          <w:color w:val="808080" w:themeColor="background1" w:themeShade="80"/>
          <w:sz w:val="16"/>
          <w:szCs w:val="16"/>
        </w:rPr>
        <w:t>_(</w:t>
      </w:r>
      <w:proofErr w:type="gramEnd"/>
      <w:r w:rsidRPr="008E0FCE">
        <w:rPr>
          <w:rFonts w:ascii="Arial" w:hAnsi="Arial" w:cs="Arial"/>
          <w:i/>
          <w:color w:val="808080" w:themeColor="background1" w:themeShade="80"/>
          <w:sz w:val="16"/>
          <w:szCs w:val="16"/>
        </w:rPr>
        <w:t>1.1) No.</w:t>
      </w:r>
      <w:r w:rsidRPr="008E0FCE">
        <w:rPr>
          <w:rFonts w:ascii="Arial" w:hAnsi="Arial" w:cs="Arial"/>
          <w:b/>
          <w:i/>
          <w:color w:val="808080" w:themeColor="background1" w:themeShade="80"/>
          <w:sz w:val="16"/>
          <w:szCs w:val="16"/>
        </w:rPr>
        <w:t xml:space="preserve"> </w:t>
      </w:r>
      <w:r w:rsidRPr="008E0FCE">
        <w:rPr>
          <w:rFonts w:ascii="Arial" w:hAnsi="Arial" w:cs="Arial"/>
          <w:i/>
          <w:color w:val="808080" w:themeColor="background1" w:themeShade="80"/>
          <w:sz w:val="16"/>
          <w:szCs w:val="16"/>
        </w:rPr>
        <w:t>_________</w:t>
      </w:r>
      <w:proofErr w:type="gramStart"/>
      <w:r w:rsidRPr="008E0FCE">
        <w:rPr>
          <w:rFonts w:ascii="Arial" w:hAnsi="Arial" w:cs="Arial"/>
          <w:i/>
          <w:color w:val="808080" w:themeColor="background1" w:themeShade="80"/>
          <w:sz w:val="16"/>
          <w:szCs w:val="16"/>
        </w:rPr>
        <w:t>_(</w:t>
      </w:r>
      <w:proofErr w:type="gramEnd"/>
      <w:r w:rsidRPr="008E0FCE">
        <w:rPr>
          <w:rFonts w:ascii="Arial" w:hAnsi="Arial" w:cs="Arial"/>
          <w:i/>
          <w:color w:val="808080" w:themeColor="background1" w:themeShade="80"/>
          <w:sz w:val="16"/>
          <w:szCs w:val="16"/>
        </w:rPr>
        <w:t>1.2)</w:t>
      </w:r>
    </w:p>
    <w:p w14:paraId="3E590209" w14:textId="77777777" w:rsidR="00C56EB7" w:rsidRPr="008E0FCE" w:rsidRDefault="00C56EB7" w:rsidP="00C56EB7">
      <w:pPr>
        <w:jc w:val="right"/>
        <w:rPr>
          <w:rFonts w:ascii="Arial" w:hAnsi="Arial" w:cs="Arial"/>
          <w:i/>
          <w:color w:val="808080" w:themeColor="background1" w:themeShade="80"/>
          <w:sz w:val="16"/>
          <w:szCs w:val="16"/>
        </w:rPr>
      </w:pPr>
      <w:r w:rsidRPr="008E0FCE">
        <w:rPr>
          <w:rFonts w:ascii="Arial" w:hAnsi="Arial" w:cs="Arial"/>
          <w:i/>
          <w:color w:val="808080" w:themeColor="background1" w:themeShade="80"/>
          <w:sz w:val="16"/>
          <w:szCs w:val="16"/>
        </w:rPr>
        <w:t>________</w:t>
      </w:r>
      <w:proofErr w:type="gramStart"/>
      <w:r w:rsidRPr="008E0FCE">
        <w:rPr>
          <w:rFonts w:ascii="Arial" w:hAnsi="Arial" w:cs="Arial"/>
          <w:i/>
          <w:color w:val="808080" w:themeColor="background1" w:themeShade="80"/>
          <w:sz w:val="16"/>
          <w:szCs w:val="16"/>
        </w:rPr>
        <w:t>_(</w:t>
      </w:r>
      <w:proofErr w:type="gramEnd"/>
      <w:r w:rsidRPr="008E0FCE">
        <w:rPr>
          <w:rFonts w:ascii="Arial" w:hAnsi="Arial" w:cs="Arial"/>
          <w:i/>
          <w:color w:val="808080" w:themeColor="background1" w:themeShade="80"/>
          <w:sz w:val="16"/>
          <w:szCs w:val="16"/>
        </w:rPr>
        <w:t>2.1) , _________(2.2) a ____ de _____ 20__(2.3)</w:t>
      </w:r>
    </w:p>
    <w:p w14:paraId="672A6659" w14:textId="77777777" w:rsidR="00703967" w:rsidRPr="00C56EB7" w:rsidRDefault="00703967" w:rsidP="00A77A9C">
      <w:pPr>
        <w:jc w:val="both"/>
        <w:rPr>
          <w:rFonts w:ascii="Arial" w:hAnsi="Arial" w:cs="Arial"/>
          <w:b/>
          <w:lang w:val="es-MX"/>
        </w:rPr>
      </w:pPr>
    </w:p>
    <w:p w14:paraId="56B917F3" w14:textId="77777777" w:rsidR="00A77A9C" w:rsidRPr="003E2FF7" w:rsidRDefault="00A77A9C" w:rsidP="00A77A9C">
      <w:pPr>
        <w:jc w:val="center"/>
        <w:rPr>
          <w:rFonts w:ascii="Arial" w:hAnsi="Arial" w:cs="Arial"/>
          <w:b/>
        </w:rPr>
      </w:pPr>
      <w:r w:rsidRPr="003E2FF7">
        <w:rPr>
          <w:rFonts w:ascii="Arial" w:hAnsi="Arial" w:cs="Arial"/>
          <w:b/>
        </w:rPr>
        <w:t>Nota informativa para participantes de países miembros de la Organización para la Cooperación y el Desarrollo Económico. (OCDE)</w:t>
      </w:r>
    </w:p>
    <w:p w14:paraId="0A37501D" w14:textId="77777777" w:rsidR="00A77A9C" w:rsidRPr="003E2FF7" w:rsidRDefault="00A77A9C" w:rsidP="00A77A9C">
      <w:pPr>
        <w:jc w:val="both"/>
        <w:rPr>
          <w:rFonts w:ascii="Arial" w:hAnsi="Arial" w:cs="Arial"/>
        </w:rPr>
      </w:pPr>
    </w:p>
    <w:p w14:paraId="4FE205FD" w14:textId="77777777" w:rsidR="00A77A9C" w:rsidRPr="003E2FF7" w:rsidRDefault="00A77A9C" w:rsidP="00A77A9C">
      <w:pPr>
        <w:jc w:val="both"/>
        <w:rPr>
          <w:rFonts w:ascii="Arial" w:hAnsi="Arial" w:cs="Arial"/>
        </w:rPr>
      </w:pPr>
      <w:r w:rsidRPr="003E2FF7">
        <w:rPr>
          <w:rFonts w:ascii="Arial" w:hAnsi="Arial" w:cs="Arial"/>
        </w:rPr>
        <w:t>El compromiso de México en el combate a la corrupción ha trascendido nuestras front</w:t>
      </w:r>
      <w:r>
        <w:rPr>
          <w:rFonts w:ascii="Arial" w:hAnsi="Arial" w:cs="Arial"/>
        </w:rPr>
        <w:t>eras y el ámbito de acción del Gobierno F</w:t>
      </w:r>
      <w:r w:rsidRPr="003E2FF7">
        <w:rPr>
          <w:rFonts w:ascii="Arial" w:hAnsi="Arial" w:cs="Arial"/>
        </w:rPr>
        <w:t xml:space="preserve">ederal. En el plano internacional y como miembro de la Organización para la Cooperación y el desarrollo Económico (OCDE) y firmante de la </w:t>
      </w:r>
      <w:r w:rsidRPr="003E2FF7">
        <w:rPr>
          <w:rFonts w:ascii="Arial" w:hAnsi="Arial" w:cs="Arial"/>
          <w:b/>
        </w:rPr>
        <w:t>Convención para combatir el cohecho de servidores públicos extranjeros en transacciones comerciales internacionales</w:t>
      </w:r>
      <w:r w:rsidRPr="003E2FF7">
        <w:rPr>
          <w:rFonts w:ascii="Arial" w:hAnsi="Arial" w:cs="Arial"/>
        </w:rPr>
        <w:t>, hemos adquirido responsabilidades que involucran a los sectores público y privado.</w:t>
      </w:r>
    </w:p>
    <w:p w14:paraId="5DAB6C7B" w14:textId="77777777" w:rsidR="00A77A9C" w:rsidRPr="003E2FF7" w:rsidRDefault="00A77A9C" w:rsidP="00A77A9C">
      <w:pPr>
        <w:jc w:val="both"/>
        <w:rPr>
          <w:rFonts w:ascii="Arial" w:hAnsi="Arial" w:cs="Arial"/>
        </w:rPr>
      </w:pPr>
    </w:p>
    <w:p w14:paraId="5CD0C535" w14:textId="77777777" w:rsidR="00A77A9C" w:rsidRPr="003E2FF7" w:rsidRDefault="00A77A9C" w:rsidP="00A77A9C">
      <w:pPr>
        <w:jc w:val="both"/>
        <w:rPr>
          <w:rFonts w:ascii="Arial" w:hAnsi="Arial" w:cs="Arial"/>
        </w:rPr>
      </w:pPr>
      <w:r w:rsidRPr="003E2FF7">
        <w:rPr>
          <w:rFonts w:ascii="Arial" w:hAnsi="Arial" w:cs="Aria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2EB378F" w14:textId="77777777" w:rsidR="00A77A9C" w:rsidRPr="003E2FF7" w:rsidRDefault="00A77A9C" w:rsidP="00A77A9C">
      <w:pPr>
        <w:jc w:val="both"/>
        <w:rPr>
          <w:rFonts w:ascii="Arial" w:hAnsi="Arial" w:cs="Arial"/>
        </w:rPr>
      </w:pPr>
    </w:p>
    <w:p w14:paraId="349A057F" w14:textId="77777777" w:rsidR="00A77A9C" w:rsidRPr="003E2FF7" w:rsidRDefault="00A77A9C" w:rsidP="00A77A9C">
      <w:pPr>
        <w:jc w:val="both"/>
        <w:rPr>
          <w:rFonts w:ascii="Arial" w:hAnsi="Arial" w:cs="Arial"/>
        </w:rPr>
      </w:pPr>
      <w:r w:rsidRPr="003E2FF7">
        <w:rPr>
          <w:rFonts w:ascii="Arial" w:hAnsi="Arial" w:cs="Arial"/>
        </w:rPr>
        <w:t xml:space="preserve">La OCDE ha establecido mecanismos muy claros para que los países firmantes de la Convención cumplan con las recomendaciones emitidas por ésta en caso de México, iniciará en Noviembre de 2003 una segunda fase de </w:t>
      </w:r>
      <w:proofErr w:type="gramStart"/>
      <w:r w:rsidRPr="003E2FF7">
        <w:rPr>
          <w:rFonts w:ascii="Arial" w:hAnsi="Arial" w:cs="Arial"/>
        </w:rPr>
        <w:t>evaluación  -</w:t>
      </w:r>
      <w:proofErr w:type="gramEnd"/>
      <w:r w:rsidRPr="003E2FF7">
        <w:rPr>
          <w:rFonts w:ascii="Arial" w:hAnsi="Arial" w:cs="Arial"/>
        </w:rPr>
        <w:t xml:space="preserve"> la primera fase ya fue aprobada-  en donde un grupo de expertos verificará, entre otros:</w:t>
      </w:r>
    </w:p>
    <w:p w14:paraId="3883EE9F" w14:textId="77777777" w:rsidR="00A77A9C" w:rsidRPr="003E2FF7" w:rsidRDefault="00A77A9C" w:rsidP="00A77A9C">
      <w:pPr>
        <w:numPr>
          <w:ilvl w:val="0"/>
          <w:numId w:val="2"/>
        </w:numPr>
        <w:jc w:val="both"/>
        <w:rPr>
          <w:rFonts w:ascii="Arial" w:hAnsi="Arial" w:cs="Arial"/>
        </w:rPr>
      </w:pPr>
      <w:r w:rsidRPr="003E2FF7">
        <w:rPr>
          <w:rFonts w:ascii="Arial" w:hAnsi="Arial" w:cs="Arial"/>
        </w:rPr>
        <w:t>La compatibilidad de nuestro marco jurídico con las disposiciones de la Convención.</w:t>
      </w:r>
    </w:p>
    <w:p w14:paraId="1F919049" w14:textId="77777777" w:rsidR="00A77A9C" w:rsidRPr="003E2FF7" w:rsidRDefault="00A77A9C" w:rsidP="00A77A9C">
      <w:pPr>
        <w:numPr>
          <w:ilvl w:val="0"/>
          <w:numId w:val="2"/>
        </w:numPr>
        <w:jc w:val="both"/>
        <w:rPr>
          <w:rFonts w:ascii="Arial" w:hAnsi="Arial" w:cs="Arial"/>
        </w:rPr>
      </w:pPr>
      <w:r w:rsidRPr="003E2FF7">
        <w:rPr>
          <w:rFonts w:ascii="Arial" w:hAnsi="Arial" w:cs="Arial"/>
        </w:rPr>
        <w:t>El conocimiento que tengan los sect</w:t>
      </w:r>
      <w:r>
        <w:rPr>
          <w:rFonts w:ascii="Arial" w:hAnsi="Arial" w:cs="Arial"/>
        </w:rPr>
        <w:t>ores público</w:t>
      </w:r>
      <w:r w:rsidRPr="003E2FF7">
        <w:rPr>
          <w:rFonts w:ascii="Arial" w:hAnsi="Arial" w:cs="Arial"/>
        </w:rPr>
        <w:t xml:space="preserve"> y privado de las recomendaciones de la Convención.</w:t>
      </w:r>
    </w:p>
    <w:p w14:paraId="6A05A809" w14:textId="77777777" w:rsidR="00A77A9C" w:rsidRPr="003E2FF7" w:rsidRDefault="00A77A9C" w:rsidP="00A77A9C">
      <w:pPr>
        <w:jc w:val="both"/>
        <w:rPr>
          <w:rFonts w:ascii="Arial" w:hAnsi="Arial" w:cs="Arial"/>
        </w:rPr>
      </w:pPr>
    </w:p>
    <w:p w14:paraId="03A68C2B" w14:textId="77777777" w:rsidR="00A77A9C" w:rsidRPr="003E2FF7" w:rsidRDefault="00A77A9C" w:rsidP="00A77A9C">
      <w:pPr>
        <w:jc w:val="both"/>
        <w:rPr>
          <w:rFonts w:ascii="Arial" w:hAnsi="Arial" w:cs="Arial"/>
        </w:rPr>
      </w:pPr>
      <w:r w:rsidRPr="003E2FF7">
        <w:rPr>
          <w:rFonts w:ascii="Arial" w:hAnsi="Arial" w:cs="Arial"/>
        </w:rPr>
        <w:t>El resultado de esta evaluación impactará el grado de inversión otorgado a México por las agencias calificadores y la atracción de inversión extranjera.</w:t>
      </w:r>
    </w:p>
    <w:p w14:paraId="5A39BBE3" w14:textId="77777777" w:rsidR="00A77A9C" w:rsidRPr="003E2FF7" w:rsidRDefault="00A77A9C" w:rsidP="00A77A9C">
      <w:pPr>
        <w:jc w:val="both"/>
        <w:rPr>
          <w:rFonts w:ascii="Arial" w:hAnsi="Arial" w:cs="Arial"/>
        </w:rPr>
      </w:pPr>
    </w:p>
    <w:p w14:paraId="7F864C9C" w14:textId="77777777" w:rsidR="00A77A9C" w:rsidRPr="003E2FF7" w:rsidRDefault="00A77A9C" w:rsidP="00A77A9C">
      <w:pPr>
        <w:jc w:val="both"/>
        <w:rPr>
          <w:rFonts w:ascii="Arial" w:hAnsi="Arial" w:cs="Arial"/>
        </w:rPr>
      </w:pPr>
      <w:r w:rsidRPr="003E2FF7">
        <w:rPr>
          <w:rFonts w:ascii="Arial" w:hAnsi="Arial" w:cs="Arial"/>
        </w:rPr>
        <w:t>Las responsabilidades del sector público se centran en:</w:t>
      </w:r>
    </w:p>
    <w:p w14:paraId="541E91D4" w14:textId="77777777" w:rsidR="00A77A9C" w:rsidRPr="003E2FF7" w:rsidRDefault="00A77A9C" w:rsidP="00A77A9C">
      <w:pPr>
        <w:numPr>
          <w:ilvl w:val="0"/>
          <w:numId w:val="3"/>
        </w:numPr>
        <w:jc w:val="both"/>
        <w:rPr>
          <w:rFonts w:ascii="Arial" w:hAnsi="Arial" w:cs="Arial"/>
        </w:rPr>
      </w:pPr>
      <w:r w:rsidRPr="003E2FF7">
        <w:rPr>
          <w:rFonts w:ascii="Arial" w:hAnsi="Arial" w:cs="Arial"/>
        </w:rPr>
        <w:t>Profundizar las reformas legales que inició en 1999.</w:t>
      </w:r>
    </w:p>
    <w:p w14:paraId="55172FE5" w14:textId="77777777" w:rsidR="00A77A9C" w:rsidRPr="003E2FF7" w:rsidRDefault="00A77A9C" w:rsidP="00A77A9C">
      <w:pPr>
        <w:numPr>
          <w:ilvl w:val="0"/>
          <w:numId w:val="3"/>
        </w:numPr>
        <w:jc w:val="both"/>
        <w:rPr>
          <w:rFonts w:ascii="Arial" w:hAnsi="Arial" w:cs="Arial"/>
        </w:rPr>
      </w:pPr>
      <w:r w:rsidRPr="003E2FF7">
        <w:rPr>
          <w:rFonts w:ascii="Arial" w:hAnsi="Arial" w:cs="Arial"/>
        </w:rPr>
        <w:t>Difundir las recomendaciones de la Convención y las obligaciones de cada uno de los actores comprometidos en su cumplimiento.</w:t>
      </w:r>
    </w:p>
    <w:p w14:paraId="5F7F5756" w14:textId="77777777" w:rsidR="00A77A9C" w:rsidRPr="003E2FF7" w:rsidRDefault="00A77A9C" w:rsidP="00A77A9C">
      <w:pPr>
        <w:numPr>
          <w:ilvl w:val="0"/>
          <w:numId w:val="3"/>
        </w:numPr>
        <w:jc w:val="both"/>
        <w:rPr>
          <w:rFonts w:ascii="Arial" w:hAnsi="Arial" w:cs="Arial"/>
        </w:rPr>
      </w:pPr>
      <w:r w:rsidRPr="003E2FF7">
        <w:rPr>
          <w:rFonts w:ascii="Arial" w:hAnsi="Arial" w:cs="Arial"/>
        </w:rPr>
        <w:t xml:space="preserve">Presentar casos de cohecho en proceso y concluidos (incluyendo aquellos relacionados con el lavado de dinero y extradición) </w:t>
      </w:r>
    </w:p>
    <w:p w14:paraId="41C8F396" w14:textId="77777777" w:rsidR="00A77A9C" w:rsidRPr="003E2FF7" w:rsidRDefault="00A77A9C" w:rsidP="00A77A9C">
      <w:pPr>
        <w:jc w:val="both"/>
        <w:rPr>
          <w:rFonts w:ascii="Arial" w:hAnsi="Arial" w:cs="Arial"/>
        </w:rPr>
      </w:pPr>
    </w:p>
    <w:p w14:paraId="1170D897" w14:textId="77777777" w:rsidR="00A77A9C" w:rsidRPr="003E2FF7" w:rsidRDefault="00A77A9C" w:rsidP="00A77A9C">
      <w:pPr>
        <w:jc w:val="both"/>
        <w:rPr>
          <w:rFonts w:ascii="Arial" w:hAnsi="Arial" w:cs="Arial"/>
        </w:rPr>
      </w:pPr>
      <w:r w:rsidRPr="003E2FF7">
        <w:rPr>
          <w:rFonts w:ascii="Arial" w:hAnsi="Arial" w:cs="Arial"/>
        </w:rPr>
        <w:t>Las responsabilidades del sector privado contemplan:</w:t>
      </w:r>
    </w:p>
    <w:p w14:paraId="44CED972" w14:textId="73CC89C8" w:rsidR="00A77A9C" w:rsidRPr="003E2FF7" w:rsidRDefault="00A77A9C" w:rsidP="00A77A9C">
      <w:pPr>
        <w:numPr>
          <w:ilvl w:val="0"/>
          <w:numId w:val="4"/>
        </w:numPr>
        <w:jc w:val="both"/>
        <w:rPr>
          <w:rFonts w:ascii="Arial" w:hAnsi="Arial" w:cs="Arial"/>
        </w:rPr>
      </w:pPr>
      <w:r w:rsidRPr="003E2FF7">
        <w:rPr>
          <w:rFonts w:ascii="Arial" w:hAnsi="Arial" w:cs="Arial"/>
          <w:b/>
        </w:rPr>
        <w:t>Las empresas</w:t>
      </w:r>
      <w:r w:rsidRPr="003E2FF7">
        <w:rPr>
          <w:rFonts w:ascii="Arial" w:hAnsi="Arial" w:cs="Arial"/>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las empresas.</w:t>
      </w:r>
    </w:p>
    <w:p w14:paraId="72A3D3EC" w14:textId="77777777" w:rsidR="00A77A9C" w:rsidRPr="003E2FF7" w:rsidRDefault="00A77A9C" w:rsidP="00A77A9C">
      <w:pPr>
        <w:jc w:val="both"/>
        <w:rPr>
          <w:rFonts w:ascii="Arial" w:hAnsi="Arial" w:cs="Arial"/>
        </w:rPr>
      </w:pPr>
    </w:p>
    <w:p w14:paraId="712E4617" w14:textId="77777777" w:rsidR="00A77A9C" w:rsidRPr="003E2FF7" w:rsidRDefault="00A77A9C" w:rsidP="00A77A9C">
      <w:pPr>
        <w:numPr>
          <w:ilvl w:val="0"/>
          <w:numId w:val="5"/>
        </w:numPr>
        <w:jc w:val="both"/>
        <w:rPr>
          <w:rFonts w:ascii="Arial" w:hAnsi="Arial" w:cs="Arial"/>
        </w:rPr>
      </w:pPr>
      <w:r w:rsidRPr="003E2FF7">
        <w:rPr>
          <w:rFonts w:ascii="Arial" w:hAnsi="Arial" w:cs="Arial"/>
          <w:b/>
        </w:rPr>
        <w:t>Los contadores públicos</w:t>
      </w:r>
      <w:r w:rsidRPr="003E2FF7">
        <w:rPr>
          <w:rFonts w:ascii="Arial" w:hAnsi="Arial" w:cs="Arial"/>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D0B940D" w14:textId="77777777" w:rsidR="00A77A9C" w:rsidRPr="003E2FF7" w:rsidRDefault="00A77A9C" w:rsidP="00A77A9C">
      <w:pPr>
        <w:ind w:left="993"/>
        <w:jc w:val="both"/>
        <w:rPr>
          <w:rFonts w:ascii="Arial" w:hAnsi="Arial" w:cs="Arial"/>
        </w:rPr>
      </w:pPr>
    </w:p>
    <w:p w14:paraId="21A8C48E" w14:textId="77777777" w:rsidR="00A77A9C" w:rsidRPr="003E2FF7" w:rsidRDefault="00A77A9C" w:rsidP="00A77A9C">
      <w:pPr>
        <w:numPr>
          <w:ilvl w:val="0"/>
          <w:numId w:val="5"/>
        </w:numPr>
        <w:jc w:val="both"/>
        <w:rPr>
          <w:rFonts w:ascii="Arial" w:hAnsi="Arial" w:cs="Arial"/>
        </w:rPr>
      </w:pPr>
      <w:r w:rsidRPr="003E2FF7">
        <w:rPr>
          <w:rFonts w:ascii="Arial" w:hAnsi="Arial" w:cs="Arial"/>
          <w:b/>
        </w:rPr>
        <w:t>Los abogados</w:t>
      </w:r>
      <w:r w:rsidRPr="003E2FF7">
        <w:rPr>
          <w:rFonts w:ascii="Arial" w:hAnsi="Arial" w:cs="Arial"/>
        </w:rPr>
        <w:t>: promover el cumplimiento y revisión de la Convención (imprimir el carácter vinculatorio entre ésta y la legislación nacional); impulsar los esquemas preventivos que deben adoptar las empresas.</w:t>
      </w:r>
    </w:p>
    <w:p w14:paraId="0E27B00A" w14:textId="77777777" w:rsidR="00A77A9C" w:rsidRPr="003E2FF7" w:rsidRDefault="00A77A9C" w:rsidP="00A77A9C">
      <w:pPr>
        <w:jc w:val="both"/>
        <w:rPr>
          <w:rFonts w:ascii="Arial" w:hAnsi="Arial" w:cs="Arial"/>
        </w:rPr>
      </w:pPr>
    </w:p>
    <w:p w14:paraId="169DED60" w14:textId="77777777" w:rsidR="00A77A9C" w:rsidRPr="003E2FF7" w:rsidRDefault="00A77A9C" w:rsidP="00A77A9C">
      <w:pPr>
        <w:jc w:val="both"/>
        <w:rPr>
          <w:rFonts w:ascii="Arial" w:hAnsi="Arial" w:cs="Arial"/>
        </w:rPr>
      </w:pPr>
      <w:r w:rsidRPr="003E2FF7">
        <w:rPr>
          <w:rFonts w:ascii="Arial" w:hAnsi="Arial" w:cs="Arial"/>
        </w:rPr>
        <w:t xml:space="preserve">Las sanciones impuestas a las personas físicas o morales (privados) y a los servidores públicos que incumplan las recomendaciones de la Convención, implican entre otras, privación de la libertad, extradición, decomiso y/o embargo de dinero o bienes. </w:t>
      </w:r>
    </w:p>
    <w:p w14:paraId="60061E4C" w14:textId="77777777" w:rsidR="00A77A9C" w:rsidRPr="003E2FF7" w:rsidRDefault="00A77A9C" w:rsidP="00A77A9C">
      <w:pPr>
        <w:jc w:val="both"/>
        <w:rPr>
          <w:rFonts w:ascii="Arial" w:hAnsi="Arial" w:cs="Arial"/>
        </w:rPr>
      </w:pPr>
    </w:p>
    <w:p w14:paraId="1A73EFFC" w14:textId="77777777" w:rsidR="00A77A9C" w:rsidRPr="003E2FF7" w:rsidRDefault="00A77A9C" w:rsidP="00A77A9C">
      <w:pPr>
        <w:jc w:val="both"/>
        <w:rPr>
          <w:rFonts w:ascii="Arial" w:hAnsi="Arial" w:cs="Arial"/>
        </w:rPr>
      </w:pPr>
      <w:r w:rsidRPr="003E2FF7">
        <w:rPr>
          <w:rFonts w:ascii="Arial" w:hAnsi="Arial" w:cs="Arial"/>
        </w:rPr>
        <w:t>Así mismo, es importante conocer que el pago realizado a los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4EAFD9C" w14:textId="77777777" w:rsidR="00A77A9C" w:rsidRPr="003E2FF7" w:rsidRDefault="00A77A9C" w:rsidP="00A77A9C">
      <w:pPr>
        <w:jc w:val="both"/>
        <w:rPr>
          <w:rFonts w:ascii="Arial" w:hAnsi="Arial" w:cs="Arial"/>
        </w:rPr>
      </w:pPr>
    </w:p>
    <w:p w14:paraId="0D66CBD4" w14:textId="77777777" w:rsidR="00A77A9C" w:rsidRPr="003E2FF7" w:rsidRDefault="00A77A9C" w:rsidP="00A77A9C">
      <w:pPr>
        <w:jc w:val="both"/>
        <w:rPr>
          <w:rFonts w:ascii="Arial" w:hAnsi="Arial" w:cs="Arial"/>
        </w:rPr>
      </w:pPr>
      <w:r w:rsidRPr="003E2FF7">
        <w:rPr>
          <w:rFonts w:ascii="Arial" w:hAnsi="Arial" w:cs="Arial"/>
        </w:rPr>
        <w:t>El culpable puede ser perseguido en cualquier país firmante de la Convención, independientemente del lugar donde el acto de cohecho haya sido cometido.</w:t>
      </w:r>
    </w:p>
    <w:p w14:paraId="4B94D5A5" w14:textId="77777777" w:rsidR="00A77A9C" w:rsidRPr="003E2FF7" w:rsidRDefault="00A77A9C" w:rsidP="00A77A9C">
      <w:pPr>
        <w:jc w:val="both"/>
        <w:rPr>
          <w:rFonts w:ascii="Arial" w:hAnsi="Arial" w:cs="Arial"/>
        </w:rPr>
      </w:pPr>
    </w:p>
    <w:p w14:paraId="6E535137" w14:textId="77777777" w:rsidR="00A77A9C" w:rsidRPr="003E2FF7" w:rsidRDefault="00A77A9C" w:rsidP="00A77A9C">
      <w:pPr>
        <w:jc w:val="both"/>
        <w:rPr>
          <w:rFonts w:ascii="Arial" w:hAnsi="Arial" w:cs="Arial"/>
        </w:rPr>
      </w:pPr>
      <w:r w:rsidRPr="003E2FF7">
        <w:rPr>
          <w:rFonts w:ascii="Arial" w:hAnsi="Arial" w:cs="Arial"/>
        </w:rPr>
        <w:t>En la medida de estos lineamientos sean conocidos por las empresas y los servidores públicos del país, estaremos contribuyendo a construir estructuras preventivas que impidan el cumplimiento de las recomendaciones de la Convención y por lo tanto de la comisión de actos de corrupción.</w:t>
      </w:r>
    </w:p>
    <w:p w14:paraId="3DEEC669" w14:textId="77777777" w:rsidR="00A77A9C" w:rsidRPr="003E2FF7" w:rsidRDefault="00A77A9C" w:rsidP="00A77A9C">
      <w:pPr>
        <w:jc w:val="both"/>
        <w:rPr>
          <w:rFonts w:ascii="Arial" w:hAnsi="Arial" w:cs="Arial"/>
        </w:rPr>
      </w:pPr>
    </w:p>
    <w:p w14:paraId="10F4419C" w14:textId="77777777" w:rsidR="00A77A9C" w:rsidRPr="003E2FF7" w:rsidRDefault="00A77A9C" w:rsidP="00A77A9C">
      <w:pPr>
        <w:jc w:val="both"/>
        <w:rPr>
          <w:rFonts w:ascii="Arial" w:hAnsi="Arial" w:cs="Arial"/>
        </w:rPr>
      </w:pPr>
      <w:r w:rsidRPr="003E2FF7">
        <w:rPr>
          <w:rFonts w:ascii="Arial" w:hAnsi="Arial" w:cs="Arial"/>
        </w:rPr>
        <w:t xml:space="preserve">Por otra parte, es de señalar que el Código Penal Federal sanciona el cohecho en los siguientes términos: </w:t>
      </w:r>
    </w:p>
    <w:p w14:paraId="3656B9AB" w14:textId="77777777" w:rsidR="00A77A9C" w:rsidRPr="003E2FF7" w:rsidRDefault="00A77A9C" w:rsidP="00A77A9C">
      <w:pPr>
        <w:jc w:val="both"/>
        <w:rPr>
          <w:rFonts w:ascii="Arial" w:hAnsi="Arial" w:cs="Arial"/>
        </w:rPr>
      </w:pPr>
    </w:p>
    <w:p w14:paraId="076336EC" w14:textId="77777777" w:rsidR="00A77A9C" w:rsidRPr="003E2FF7" w:rsidRDefault="00A77A9C" w:rsidP="00A77A9C">
      <w:pPr>
        <w:jc w:val="both"/>
        <w:rPr>
          <w:rFonts w:ascii="Arial" w:hAnsi="Arial" w:cs="Arial"/>
        </w:rPr>
      </w:pPr>
      <w:r w:rsidRPr="003E2FF7">
        <w:rPr>
          <w:rFonts w:ascii="Arial" w:hAnsi="Arial" w:cs="Arial"/>
        </w:rPr>
        <w:t>“Artículo 222</w:t>
      </w:r>
    </w:p>
    <w:p w14:paraId="74C50277" w14:textId="77777777" w:rsidR="00A77A9C" w:rsidRPr="003E2FF7" w:rsidRDefault="00A77A9C" w:rsidP="00A77A9C">
      <w:pPr>
        <w:jc w:val="both"/>
        <w:rPr>
          <w:rFonts w:ascii="Arial" w:hAnsi="Arial" w:cs="Arial"/>
        </w:rPr>
      </w:pPr>
      <w:r w:rsidRPr="003E2FF7">
        <w:rPr>
          <w:rFonts w:ascii="Arial" w:hAnsi="Arial" w:cs="Arial"/>
        </w:rPr>
        <w:t>Cometen el delito de cohecho:</w:t>
      </w:r>
    </w:p>
    <w:p w14:paraId="45FB0818" w14:textId="77777777" w:rsidR="00A77A9C" w:rsidRPr="003E2FF7" w:rsidRDefault="00A77A9C" w:rsidP="00A77A9C">
      <w:pPr>
        <w:jc w:val="both"/>
        <w:rPr>
          <w:rFonts w:ascii="Arial" w:hAnsi="Arial" w:cs="Arial"/>
        </w:rPr>
      </w:pPr>
    </w:p>
    <w:p w14:paraId="21BDAD9D" w14:textId="77777777" w:rsidR="00A77A9C" w:rsidRPr="00820150" w:rsidRDefault="00707F5F" w:rsidP="00A77A9C">
      <w:pPr>
        <w:numPr>
          <w:ilvl w:val="0"/>
          <w:numId w:val="6"/>
        </w:numPr>
        <w:jc w:val="both"/>
        <w:rPr>
          <w:rFonts w:ascii="Arial" w:hAnsi="Arial" w:cs="Arial"/>
          <w:color w:val="1F497D" w:themeColor="text2"/>
        </w:rPr>
      </w:pPr>
      <w:r w:rsidRPr="00820150">
        <w:rPr>
          <w:rFonts w:ascii="Arial" w:hAnsi="Arial" w:cs="Arial"/>
          <w:color w:val="1F497D" w:themeColor="text2"/>
        </w:rPr>
        <w:t>El servidor público que, por sí, o por interpósita persona solicite o reciba ilícitamente para sí o para otro, dinero o cualquier beneficio, o acepte una promesa, para hacer o dejar de realizar un acto propio de sus funciones inherentes a su empleo, cargo o comisión;</w:t>
      </w:r>
      <w:r w:rsidR="00A77A9C" w:rsidRPr="00820150">
        <w:rPr>
          <w:rFonts w:ascii="Arial" w:hAnsi="Arial" w:cs="Arial"/>
          <w:color w:val="1F497D" w:themeColor="text2"/>
        </w:rPr>
        <w:t xml:space="preserve"> </w:t>
      </w:r>
      <w:r w:rsidRPr="00820150">
        <w:rPr>
          <w:rFonts w:ascii="Arial" w:hAnsi="Arial" w:cs="Arial"/>
          <w:color w:val="1F497D" w:themeColor="text2"/>
        </w:rPr>
        <w:t xml:space="preserve"> </w:t>
      </w:r>
    </w:p>
    <w:p w14:paraId="768A9DBC" w14:textId="77777777" w:rsidR="00707F5F" w:rsidRPr="00820150" w:rsidRDefault="00707F5F" w:rsidP="00707F5F">
      <w:pPr>
        <w:ind w:left="720"/>
        <w:jc w:val="right"/>
        <w:rPr>
          <w:rFonts w:ascii="Arial" w:hAnsi="Arial" w:cs="Arial"/>
          <w:color w:val="1F497D" w:themeColor="text2"/>
        </w:rPr>
      </w:pPr>
      <w:r w:rsidRPr="00820150">
        <w:rPr>
          <w:rFonts w:ascii="Arial" w:hAnsi="Arial" w:cs="Arial"/>
          <w:color w:val="1F497D" w:themeColor="text2"/>
        </w:rPr>
        <w:t>Fracción reformada DOF 12-03-2015, 18-07-2016</w:t>
      </w:r>
    </w:p>
    <w:p w14:paraId="049F31CB" w14:textId="77777777" w:rsidR="00A77A9C" w:rsidRPr="00820150" w:rsidRDefault="00A77A9C" w:rsidP="00A77A9C">
      <w:pPr>
        <w:ind w:left="851" w:hanging="295"/>
        <w:jc w:val="both"/>
        <w:rPr>
          <w:rFonts w:ascii="Arial" w:hAnsi="Arial" w:cs="Arial"/>
          <w:color w:val="1F497D" w:themeColor="text2"/>
        </w:rPr>
      </w:pPr>
    </w:p>
    <w:p w14:paraId="53128261" w14:textId="77777777" w:rsidR="00A77A9C" w:rsidRPr="00820150" w:rsidRDefault="00A77A9C" w:rsidP="00A77A9C">
      <w:pPr>
        <w:ind w:left="851" w:hanging="295"/>
        <w:jc w:val="both"/>
        <w:rPr>
          <w:rFonts w:ascii="Arial" w:hAnsi="Arial" w:cs="Arial"/>
          <w:color w:val="1F497D" w:themeColor="text2"/>
        </w:rPr>
      </w:pPr>
    </w:p>
    <w:p w14:paraId="2888E7F1" w14:textId="77777777" w:rsidR="00A77A9C" w:rsidRPr="00820150" w:rsidRDefault="00707F5F" w:rsidP="00707F5F">
      <w:pPr>
        <w:pStyle w:val="Prrafodelista"/>
        <w:numPr>
          <w:ilvl w:val="0"/>
          <w:numId w:val="6"/>
        </w:numPr>
        <w:jc w:val="both"/>
        <w:rPr>
          <w:rFonts w:ascii="Arial" w:hAnsi="Arial" w:cs="Arial"/>
          <w:color w:val="1F497D" w:themeColor="text2"/>
        </w:rPr>
      </w:pPr>
      <w:r w:rsidRPr="00820150">
        <w:rPr>
          <w:rFonts w:ascii="Arial" w:hAnsi="Arial" w:cs="Arial"/>
          <w:color w:val="1F497D" w:themeColor="text2"/>
        </w:rPr>
        <w:t>El que dé, prometa o entregue cualquier beneficio a alguna de las personas que se mencionan en el artículo 212 de este Código, para que haga u omita un acto relacionado con sus funciones, a su empleo, cargo o comisión, y</w:t>
      </w:r>
    </w:p>
    <w:p w14:paraId="5F3676BD" w14:textId="77777777" w:rsidR="00820150" w:rsidRPr="00820150" w:rsidRDefault="00820150" w:rsidP="00820150">
      <w:pPr>
        <w:pStyle w:val="Prrafodelista"/>
        <w:jc w:val="right"/>
        <w:rPr>
          <w:rFonts w:ascii="Arial" w:hAnsi="Arial" w:cs="Arial"/>
          <w:color w:val="1F497D" w:themeColor="text2"/>
        </w:rPr>
      </w:pPr>
      <w:r w:rsidRPr="00820150">
        <w:rPr>
          <w:rFonts w:ascii="Arial" w:hAnsi="Arial" w:cs="Arial"/>
          <w:color w:val="1F497D" w:themeColor="text2"/>
        </w:rPr>
        <w:t>Fracción reformada DOF 12-03-2015, 18-07-2016</w:t>
      </w:r>
    </w:p>
    <w:p w14:paraId="62486C05" w14:textId="77777777" w:rsidR="00820150" w:rsidRPr="00820150" w:rsidRDefault="00820150" w:rsidP="00820150">
      <w:pPr>
        <w:pStyle w:val="Prrafodelista"/>
        <w:jc w:val="right"/>
        <w:rPr>
          <w:rFonts w:ascii="Arial" w:hAnsi="Arial" w:cs="Arial"/>
          <w:color w:val="1F497D" w:themeColor="text2"/>
        </w:rPr>
      </w:pPr>
    </w:p>
    <w:p w14:paraId="4101652C" w14:textId="77777777" w:rsidR="00707F5F" w:rsidRPr="00820150" w:rsidRDefault="00707F5F" w:rsidP="00707F5F">
      <w:pPr>
        <w:pStyle w:val="Prrafodelista"/>
        <w:jc w:val="both"/>
        <w:rPr>
          <w:rFonts w:ascii="Arial" w:hAnsi="Arial" w:cs="Arial"/>
          <w:color w:val="1F497D" w:themeColor="text2"/>
        </w:rPr>
      </w:pPr>
    </w:p>
    <w:p w14:paraId="4B8D2533" w14:textId="77777777" w:rsidR="00820150" w:rsidRPr="00820150" w:rsidRDefault="00820150" w:rsidP="00707F5F">
      <w:pPr>
        <w:pStyle w:val="Prrafodelista"/>
        <w:numPr>
          <w:ilvl w:val="0"/>
          <w:numId w:val="6"/>
        </w:numPr>
        <w:jc w:val="both"/>
        <w:rPr>
          <w:rFonts w:ascii="Arial" w:hAnsi="Arial" w:cs="Arial"/>
          <w:color w:val="1F497D" w:themeColor="text2"/>
        </w:rPr>
      </w:pPr>
      <w:r w:rsidRPr="00820150">
        <w:rPr>
          <w:rFonts w:ascii="Arial" w:hAnsi="Arial" w:cs="Arial"/>
          <w:color w:val="1F497D" w:themeColor="text2"/>
        </w:rPr>
        <w:t xml:space="preserve">El legislador federal que, en el ejercicio de sus funciones o atribuciones, y en el marco del proceso de aprobación del presupuesto de egresos respectivo, gestione o solicite: </w:t>
      </w:r>
    </w:p>
    <w:p w14:paraId="4B99056E" w14:textId="77777777" w:rsidR="00820150" w:rsidRPr="00820150" w:rsidRDefault="00820150" w:rsidP="00820150">
      <w:pPr>
        <w:pStyle w:val="Prrafodelista"/>
        <w:jc w:val="both"/>
        <w:rPr>
          <w:rFonts w:ascii="Arial" w:hAnsi="Arial" w:cs="Arial"/>
          <w:color w:val="1F497D" w:themeColor="text2"/>
        </w:rPr>
      </w:pPr>
    </w:p>
    <w:p w14:paraId="043077C2" w14:textId="77777777" w:rsidR="00820150" w:rsidRPr="00820150" w:rsidRDefault="00820150" w:rsidP="00820150">
      <w:pPr>
        <w:pStyle w:val="Prrafodelista"/>
        <w:jc w:val="both"/>
        <w:rPr>
          <w:rFonts w:ascii="Arial" w:hAnsi="Arial" w:cs="Arial"/>
          <w:color w:val="1F497D" w:themeColor="text2"/>
        </w:rPr>
      </w:pPr>
      <w:proofErr w:type="gramStart"/>
      <w:r w:rsidRPr="00820150">
        <w:rPr>
          <w:rFonts w:ascii="Arial" w:hAnsi="Arial" w:cs="Arial"/>
          <w:color w:val="1F497D" w:themeColor="text2"/>
        </w:rPr>
        <w:t>a)La</w:t>
      </w:r>
      <w:proofErr w:type="gramEnd"/>
      <w:r w:rsidRPr="00820150">
        <w:rPr>
          <w:rFonts w:ascii="Arial" w:hAnsi="Arial" w:cs="Arial"/>
          <w:color w:val="1F497D" w:themeColor="text2"/>
        </w:rPr>
        <w:t xml:space="preserve"> asignación de recursos a favor de un ente público, exigiendo u obteniendo, para sí o para un tercero, una comisión, dádiva o contraprestación, en dinero o en especie, distinta a la que le corresponde por el ejercicio de su encargo;</w:t>
      </w:r>
    </w:p>
    <w:p w14:paraId="44AF181D" w14:textId="77777777" w:rsidR="00820150" w:rsidRPr="00820150" w:rsidRDefault="00820150" w:rsidP="00820150">
      <w:pPr>
        <w:pStyle w:val="Prrafodelista"/>
        <w:jc w:val="both"/>
        <w:rPr>
          <w:rFonts w:ascii="Arial" w:hAnsi="Arial" w:cs="Arial"/>
          <w:color w:val="1F497D" w:themeColor="text2"/>
        </w:rPr>
      </w:pPr>
      <w:r w:rsidRPr="00820150">
        <w:rPr>
          <w:rFonts w:ascii="Arial" w:hAnsi="Arial" w:cs="Arial"/>
          <w:color w:val="1F497D" w:themeColor="text2"/>
        </w:rPr>
        <w:t xml:space="preserve">b) El otorgamiento de contratos de obra pública o de servicios a favor de determinadas personas físicas o morales. Fracción con incisos adicionada DOF 18-07-2016 Se aplicará la misma pena a cualquier persona que gestione, solicite a nombre o en representación del legislador federal las asignaciones de recursos u otorgamiento de contratos a que se refieren los incisos a) y b) de este artículo. </w:t>
      </w:r>
    </w:p>
    <w:p w14:paraId="1F600A9D" w14:textId="77777777" w:rsidR="00820150" w:rsidRPr="00820150" w:rsidRDefault="00820150" w:rsidP="00820150">
      <w:pPr>
        <w:pStyle w:val="Prrafodelista"/>
        <w:jc w:val="right"/>
        <w:rPr>
          <w:rFonts w:ascii="Arial" w:hAnsi="Arial" w:cs="Arial"/>
          <w:color w:val="1F497D" w:themeColor="text2"/>
        </w:rPr>
      </w:pPr>
      <w:r w:rsidRPr="00820150">
        <w:rPr>
          <w:rFonts w:ascii="Arial" w:hAnsi="Arial" w:cs="Arial"/>
          <w:color w:val="1F497D" w:themeColor="text2"/>
        </w:rPr>
        <w:t xml:space="preserve">Párrafo adicionado DOF 18-07-2016 </w:t>
      </w:r>
    </w:p>
    <w:p w14:paraId="1299C43A" w14:textId="77777777" w:rsidR="00820150" w:rsidRPr="00820150" w:rsidRDefault="00820150" w:rsidP="00820150">
      <w:pPr>
        <w:pStyle w:val="Prrafodelista"/>
        <w:jc w:val="both"/>
        <w:rPr>
          <w:rFonts w:ascii="Arial" w:hAnsi="Arial" w:cs="Arial"/>
          <w:color w:val="1F497D" w:themeColor="text2"/>
        </w:rPr>
      </w:pPr>
    </w:p>
    <w:p w14:paraId="7E1E0FEF" w14:textId="77777777" w:rsidR="00707F5F" w:rsidRPr="00820150" w:rsidRDefault="00820150" w:rsidP="00820150">
      <w:pPr>
        <w:pStyle w:val="Prrafodelista"/>
        <w:jc w:val="both"/>
        <w:rPr>
          <w:rFonts w:ascii="Arial" w:hAnsi="Arial" w:cs="Arial"/>
          <w:color w:val="1F497D" w:themeColor="text2"/>
        </w:rPr>
      </w:pPr>
      <w:r w:rsidRPr="00820150">
        <w:rPr>
          <w:rFonts w:ascii="Arial" w:hAnsi="Arial" w:cs="Arial"/>
          <w:color w:val="1F497D" w:themeColor="text2"/>
        </w:rPr>
        <w:t>Al que comete el delito de cohecho se le impondrán las siguientes sanciones:</w:t>
      </w:r>
    </w:p>
    <w:p w14:paraId="4DDBEF00" w14:textId="77777777" w:rsidR="00820150" w:rsidRPr="00820150" w:rsidRDefault="00820150" w:rsidP="00820150">
      <w:pPr>
        <w:pStyle w:val="Prrafodelista"/>
        <w:jc w:val="both"/>
        <w:rPr>
          <w:rFonts w:ascii="Arial" w:hAnsi="Arial" w:cs="Arial"/>
          <w:color w:val="1F497D" w:themeColor="text2"/>
        </w:rPr>
      </w:pPr>
    </w:p>
    <w:p w14:paraId="1A162BE9" w14:textId="77777777" w:rsidR="00820150" w:rsidRPr="00820150" w:rsidRDefault="00820150" w:rsidP="00820150">
      <w:pPr>
        <w:pStyle w:val="Prrafodelista"/>
        <w:jc w:val="both"/>
        <w:rPr>
          <w:rFonts w:ascii="Arial" w:hAnsi="Arial" w:cs="Arial"/>
          <w:color w:val="1F497D" w:themeColor="text2"/>
        </w:rPr>
      </w:pPr>
      <w:r w:rsidRPr="00820150">
        <w:rPr>
          <w:rFonts w:ascii="Arial" w:hAnsi="Arial" w:cs="Arial"/>
          <w:color w:val="1F497D" w:themeColor="text2"/>
        </w:rPr>
        <w:t xml:space="preserve">Cuando la cantidad o el valor de la dádiva, de los bienes o la promesa no exceda del equivalente de quinientas veces el valor diario de la Unidad de Medida y Actualización en el momento de cometerse el delito, o no sea </w:t>
      </w:r>
      <w:proofErr w:type="spellStart"/>
      <w:r w:rsidRPr="00820150">
        <w:rPr>
          <w:rFonts w:ascii="Arial" w:hAnsi="Arial" w:cs="Arial"/>
          <w:color w:val="1F497D" w:themeColor="text2"/>
        </w:rPr>
        <w:t>valuable</w:t>
      </w:r>
      <w:proofErr w:type="spellEnd"/>
      <w:r w:rsidRPr="00820150">
        <w:rPr>
          <w:rFonts w:ascii="Arial" w:hAnsi="Arial" w:cs="Arial"/>
          <w:color w:val="1F497D" w:themeColor="text2"/>
        </w:rPr>
        <w:t xml:space="preserve">, se impondrán de tres meses a dos años de prisión y de treinta a cien días multa. </w:t>
      </w:r>
    </w:p>
    <w:p w14:paraId="1C3A9F2D" w14:textId="77777777" w:rsidR="00820150" w:rsidRPr="00820150" w:rsidRDefault="00820150" w:rsidP="00820150">
      <w:pPr>
        <w:pStyle w:val="Prrafodelista"/>
        <w:jc w:val="right"/>
        <w:rPr>
          <w:rFonts w:ascii="Arial" w:hAnsi="Arial" w:cs="Arial"/>
          <w:color w:val="1F497D" w:themeColor="text2"/>
        </w:rPr>
      </w:pPr>
      <w:r w:rsidRPr="00820150">
        <w:rPr>
          <w:rFonts w:ascii="Arial" w:hAnsi="Arial" w:cs="Arial"/>
          <w:color w:val="1F497D" w:themeColor="text2"/>
        </w:rPr>
        <w:lastRenderedPageBreak/>
        <w:t xml:space="preserve">Párrafo reformado DOF 23-08-2005, 18-07-2016 </w:t>
      </w:r>
    </w:p>
    <w:p w14:paraId="3461D779" w14:textId="77777777" w:rsidR="00820150" w:rsidRPr="00820150" w:rsidRDefault="00820150" w:rsidP="00820150">
      <w:pPr>
        <w:pStyle w:val="Prrafodelista"/>
        <w:jc w:val="both"/>
        <w:rPr>
          <w:rFonts w:ascii="Arial" w:hAnsi="Arial" w:cs="Arial"/>
          <w:color w:val="1F497D" w:themeColor="text2"/>
        </w:rPr>
      </w:pPr>
    </w:p>
    <w:p w14:paraId="3F873AA2" w14:textId="77777777" w:rsidR="00820150" w:rsidRPr="00820150" w:rsidRDefault="00820150" w:rsidP="00820150">
      <w:pPr>
        <w:pStyle w:val="Prrafodelista"/>
        <w:jc w:val="both"/>
        <w:rPr>
          <w:rFonts w:ascii="Arial" w:hAnsi="Arial" w:cs="Arial"/>
          <w:color w:val="1F497D" w:themeColor="text2"/>
        </w:rPr>
      </w:pPr>
      <w:r w:rsidRPr="00820150">
        <w:rPr>
          <w:rFonts w:ascii="Arial" w:hAnsi="Arial" w:cs="Arial"/>
          <w:color w:val="1F497D" w:themeColor="text2"/>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w:t>
      </w:r>
    </w:p>
    <w:p w14:paraId="6C6BF983" w14:textId="77777777" w:rsidR="00820150" w:rsidRPr="00820150" w:rsidRDefault="00820150" w:rsidP="00820150">
      <w:pPr>
        <w:pStyle w:val="Prrafodelista"/>
        <w:jc w:val="right"/>
        <w:rPr>
          <w:rFonts w:ascii="Arial" w:hAnsi="Arial" w:cs="Arial"/>
          <w:color w:val="1F497D" w:themeColor="text2"/>
        </w:rPr>
      </w:pPr>
      <w:r w:rsidRPr="00820150">
        <w:rPr>
          <w:rFonts w:ascii="Arial" w:hAnsi="Arial" w:cs="Arial"/>
          <w:color w:val="1F497D" w:themeColor="text2"/>
        </w:rPr>
        <w:t xml:space="preserve"> Párrafo reformado DOF 23-08-2005, 18-07-2016 </w:t>
      </w:r>
    </w:p>
    <w:p w14:paraId="3CF2D8B6" w14:textId="77777777" w:rsidR="00820150" w:rsidRPr="00820150" w:rsidRDefault="00820150" w:rsidP="00820150">
      <w:pPr>
        <w:pStyle w:val="Prrafodelista"/>
        <w:jc w:val="both"/>
        <w:rPr>
          <w:rFonts w:ascii="Arial" w:hAnsi="Arial" w:cs="Arial"/>
          <w:color w:val="1F497D" w:themeColor="text2"/>
        </w:rPr>
      </w:pPr>
    </w:p>
    <w:p w14:paraId="4F6FB024" w14:textId="77777777" w:rsidR="00820150" w:rsidRPr="00820150" w:rsidRDefault="00820150" w:rsidP="00820150">
      <w:pPr>
        <w:pStyle w:val="Prrafodelista"/>
        <w:jc w:val="both"/>
        <w:rPr>
          <w:rFonts w:ascii="Arial" w:hAnsi="Arial" w:cs="Arial"/>
          <w:color w:val="1F497D" w:themeColor="text2"/>
        </w:rPr>
      </w:pPr>
      <w:r w:rsidRPr="00820150">
        <w:rPr>
          <w:rFonts w:ascii="Arial" w:hAnsi="Arial" w:cs="Arial"/>
          <w:color w:val="1F497D" w:themeColor="text2"/>
        </w:rPr>
        <w:t xml:space="preserve">En ningún caso se devolverá a los responsables del delito de cohecho, el dinero o dádivas entregadas, las mismas se aplicarán en beneficio del Estado. </w:t>
      </w:r>
    </w:p>
    <w:p w14:paraId="07427F59" w14:textId="77777777" w:rsidR="00820150" w:rsidRPr="00820150" w:rsidRDefault="00820150" w:rsidP="00820150">
      <w:pPr>
        <w:pStyle w:val="Prrafodelista"/>
        <w:jc w:val="right"/>
        <w:rPr>
          <w:rFonts w:ascii="Arial" w:hAnsi="Arial" w:cs="Arial"/>
          <w:color w:val="1F497D" w:themeColor="text2"/>
        </w:rPr>
      </w:pPr>
      <w:r w:rsidRPr="00820150">
        <w:rPr>
          <w:rFonts w:ascii="Arial" w:hAnsi="Arial" w:cs="Arial"/>
          <w:color w:val="1F497D" w:themeColor="text2"/>
        </w:rPr>
        <w:t>Artículo reformado DOF 05-01-1983</w:t>
      </w:r>
    </w:p>
    <w:p w14:paraId="0FB78278" w14:textId="77777777" w:rsidR="00820150" w:rsidRDefault="00820150" w:rsidP="00820150">
      <w:pPr>
        <w:pStyle w:val="Prrafodelista"/>
        <w:jc w:val="both"/>
        <w:rPr>
          <w:rFonts w:ascii="Arial" w:hAnsi="Arial" w:cs="Arial"/>
        </w:rPr>
      </w:pPr>
    </w:p>
    <w:p w14:paraId="1FC39945" w14:textId="77777777" w:rsidR="00820150" w:rsidRPr="00707F5F" w:rsidRDefault="00820150" w:rsidP="00820150">
      <w:pPr>
        <w:pStyle w:val="Prrafodelista"/>
        <w:jc w:val="both"/>
        <w:rPr>
          <w:rFonts w:ascii="Arial" w:hAnsi="Arial" w:cs="Arial"/>
        </w:rPr>
      </w:pPr>
    </w:p>
    <w:p w14:paraId="4A26DADA" w14:textId="77777777" w:rsidR="00A77A9C" w:rsidRPr="003E2FF7" w:rsidRDefault="00A77A9C" w:rsidP="00A77A9C">
      <w:pPr>
        <w:jc w:val="both"/>
        <w:rPr>
          <w:rFonts w:ascii="Arial" w:hAnsi="Arial" w:cs="Arial"/>
        </w:rPr>
      </w:pPr>
      <w:r w:rsidRPr="003E2FF7">
        <w:rPr>
          <w:rFonts w:ascii="Arial" w:hAnsi="Arial" w:cs="Arial"/>
        </w:rPr>
        <w:t>Artículo 222bis</w:t>
      </w:r>
    </w:p>
    <w:p w14:paraId="65632D20" w14:textId="77777777" w:rsidR="00820150" w:rsidRDefault="00820150" w:rsidP="00820150">
      <w:pPr>
        <w:tabs>
          <w:tab w:val="left" w:pos="1843"/>
        </w:tabs>
        <w:jc w:val="both"/>
        <w:rPr>
          <w:rFonts w:ascii="Arial" w:hAnsi="Arial" w:cs="Arial"/>
          <w:color w:val="1F497D" w:themeColor="text2"/>
        </w:rPr>
      </w:pPr>
      <w:r w:rsidRPr="00820150">
        <w:rPr>
          <w:rFonts w:ascii="Arial" w:hAnsi="Arial" w:cs="Arial"/>
          <w:color w:val="1F497D" w:themeColor="text2"/>
        </w:rPr>
        <w:t>Se impondrán las penas previstas en el artículo anterior al que con el propósito de obtener o retener para sí o para</w:t>
      </w:r>
      <w:r>
        <w:t xml:space="preserve"> </w:t>
      </w:r>
      <w:r w:rsidRPr="00820150">
        <w:rPr>
          <w:rFonts w:ascii="Arial" w:hAnsi="Arial" w:cs="Arial"/>
          <w:color w:val="1F497D" w:themeColor="text2"/>
        </w:rPr>
        <w:t xml:space="preserve">otra persona ventajas indebidas en el desarrollo o conducción de transacciones comerciales internacionales, ofrezca, prometa o dé, por sí o por interpósita persona, dinero o cualquiera otra dádiva, ya sea en bienes o servicios: </w:t>
      </w:r>
    </w:p>
    <w:p w14:paraId="2A58EB29" w14:textId="77777777" w:rsidR="00820150" w:rsidRPr="00820150" w:rsidRDefault="00820150" w:rsidP="00820150">
      <w:pPr>
        <w:pStyle w:val="Prrafodelista"/>
        <w:numPr>
          <w:ilvl w:val="0"/>
          <w:numId w:val="8"/>
        </w:numPr>
        <w:tabs>
          <w:tab w:val="left" w:pos="1843"/>
        </w:tabs>
        <w:jc w:val="both"/>
        <w:rPr>
          <w:rFonts w:ascii="Arial" w:hAnsi="Arial" w:cs="Arial"/>
          <w:color w:val="1F497D" w:themeColor="text2"/>
        </w:rPr>
      </w:pPr>
      <w:r w:rsidRPr="00820150">
        <w:rPr>
          <w:rFonts w:ascii="Arial" w:hAnsi="Arial" w:cs="Arial"/>
          <w:color w:val="1F497D" w:themeColor="text2"/>
        </w:rPr>
        <w:t>A un servidor público extranjero, en su beneficio o el de un tercero, para que dicho servidor público gestione o se abstenga de gestionar la tramitación o resolución de asuntos relacionados con las funciones inherentes a su empleo, cargo o comisión;</w:t>
      </w:r>
    </w:p>
    <w:p w14:paraId="622A8340" w14:textId="77777777" w:rsidR="00820150" w:rsidRDefault="00820150" w:rsidP="00820150">
      <w:pPr>
        <w:pStyle w:val="Prrafodelista"/>
        <w:tabs>
          <w:tab w:val="left" w:pos="1843"/>
        </w:tabs>
        <w:ind w:left="1080"/>
        <w:jc w:val="right"/>
        <w:rPr>
          <w:rFonts w:ascii="Arial" w:hAnsi="Arial" w:cs="Arial"/>
          <w:color w:val="1F497D" w:themeColor="text2"/>
        </w:rPr>
      </w:pPr>
      <w:r w:rsidRPr="00820150">
        <w:rPr>
          <w:rFonts w:ascii="Arial" w:hAnsi="Arial" w:cs="Arial"/>
          <w:color w:val="1F497D" w:themeColor="text2"/>
        </w:rPr>
        <w:t xml:space="preserve">Fracción reformada DOF 23-08-2005, 12-03-2015 </w:t>
      </w:r>
    </w:p>
    <w:p w14:paraId="0562CB0E" w14:textId="77777777" w:rsidR="00820150" w:rsidRDefault="00820150" w:rsidP="00820150">
      <w:pPr>
        <w:pStyle w:val="Prrafodelista"/>
        <w:tabs>
          <w:tab w:val="left" w:pos="1843"/>
        </w:tabs>
        <w:ind w:left="1080"/>
        <w:jc w:val="right"/>
        <w:rPr>
          <w:rFonts w:ascii="Arial" w:hAnsi="Arial" w:cs="Arial"/>
          <w:color w:val="1F497D" w:themeColor="text2"/>
        </w:rPr>
      </w:pPr>
    </w:p>
    <w:p w14:paraId="6FA7E20E" w14:textId="77777777" w:rsidR="00820150" w:rsidRDefault="00820150" w:rsidP="00820150">
      <w:pPr>
        <w:pStyle w:val="Prrafodelista"/>
        <w:numPr>
          <w:ilvl w:val="0"/>
          <w:numId w:val="8"/>
        </w:numPr>
        <w:tabs>
          <w:tab w:val="left" w:pos="1843"/>
        </w:tabs>
        <w:jc w:val="both"/>
        <w:rPr>
          <w:rFonts w:ascii="Arial" w:hAnsi="Arial" w:cs="Arial"/>
          <w:color w:val="1F497D" w:themeColor="text2"/>
        </w:rPr>
      </w:pPr>
      <w:r w:rsidRPr="00820150">
        <w:rPr>
          <w:rFonts w:ascii="Arial" w:hAnsi="Arial" w:cs="Arial"/>
          <w:color w:val="1F497D" w:themeColor="text2"/>
        </w:rPr>
        <w:t xml:space="preserve">A un servidor público extranjero, en su beneficio o el de un tercero, para que dicho servidor público gestione la tramitación o resolución de cualquier asunto que se encuentre fuera del ámbito de las funciones inherentes a su empleo, cargo o comisión, o </w:t>
      </w:r>
    </w:p>
    <w:p w14:paraId="1B2732F3" w14:textId="77777777" w:rsidR="00A77A9C" w:rsidRDefault="00820150" w:rsidP="00820150">
      <w:pPr>
        <w:pStyle w:val="Prrafodelista"/>
        <w:tabs>
          <w:tab w:val="left" w:pos="1843"/>
        </w:tabs>
        <w:ind w:left="1080"/>
        <w:jc w:val="right"/>
        <w:rPr>
          <w:rFonts w:ascii="Arial" w:hAnsi="Arial" w:cs="Arial"/>
          <w:color w:val="1F497D" w:themeColor="text2"/>
        </w:rPr>
      </w:pPr>
      <w:r w:rsidRPr="00820150">
        <w:rPr>
          <w:rFonts w:ascii="Arial" w:hAnsi="Arial" w:cs="Arial"/>
          <w:color w:val="1F497D" w:themeColor="text2"/>
        </w:rPr>
        <w:t>Fracción reformada DOF 23-08-2005, 12-03-2015</w:t>
      </w:r>
    </w:p>
    <w:p w14:paraId="34CE0A41" w14:textId="77777777" w:rsidR="00820150" w:rsidRDefault="00820150" w:rsidP="00820150">
      <w:pPr>
        <w:pStyle w:val="Prrafodelista"/>
        <w:tabs>
          <w:tab w:val="left" w:pos="1843"/>
        </w:tabs>
        <w:ind w:left="1080"/>
        <w:jc w:val="right"/>
        <w:rPr>
          <w:rFonts w:ascii="Arial" w:hAnsi="Arial" w:cs="Arial"/>
          <w:color w:val="1F497D" w:themeColor="text2"/>
        </w:rPr>
      </w:pPr>
    </w:p>
    <w:p w14:paraId="210A8ACD" w14:textId="77777777" w:rsidR="00820150" w:rsidRDefault="00820150" w:rsidP="00820150">
      <w:pPr>
        <w:pStyle w:val="Prrafodelista"/>
        <w:numPr>
          <w:ilvl w:val="0"/>
          <w:numId w:val="8"/>
        </w:numPr>
        <w:tabs>
          <w:tab w:val="left" w:pos="1843"/>
        </w:tabs>
        <w:jc w:val="both"/>
        <w:rPr>
          <w:rFonts w:ascii="Arial" w:hAnsi="Arial" w:cs="Arial"/>
          <w:color w:val="1F497D" w:themeColor="text2"/>
        </w:rPr>
      </w:pPr>
      <w:r w:rsidRPr="00820150">
        <w:rPr>
          <w:rFonts w:ascii="Arial" w:hAnsi="Arial" w:cs="Arial"/>
          <w:color w:val="1F497D" w:themeColor="text2"/>
        </w:rPr>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14:paraId="62EBF3C5" w14:textId="77777777" w:rsidR="00820150" w:rsidRDefault="00820150" w:rsidP="00820150">
      <w:pPr>
        <w:pStyle w:val="Prrafodelista"/>
        <w:tabs>
          <w:tab w:val="left" w:pos="1843"/>
        </w:tabs>
        <w:ind w:left="1080"/>
        <w:jc w:val="both"/>
        <w:rPr>
          <w:rFonts w:ascii="Arial" w:hAnsi="Arial" w:cs="Arial"/>
          <w:color w:val="1F497D" w:themeColor="text2"/>
        </w:rPr>
      </w:pPr>
    </w:p>
    <w:p w14:paraId="1C45F75F" w14:textId="77777777" w:rsidR="00820150" w:rsidRDefault="00820150" w:rsidP="00820150">
      <w:pPr>
        <w:tabs>
          <w:tab w:val="left" w:pos="1843"/>
        </w:tabs>
        <w:jc w:val="both"/>
        <w:rPr>
          <w:rFonts w:ascii="Arial" w:hAnsi="Arial" w:cs="Arial"/>
          <w:color w:val="1F497D" w:themeColor="text2"/>
        </w:rPr>
      </w:pPr>
      <w:r w:rsidRPr="00820150">
        <w:rPr>
          <w:rFonts w:ascii="Arial" w:hAnsi="Arial" w:cs="Arial"/>
          <w:color w:val="1F497D" w:themeColor="text2"/>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14:paraId="31DB9BAC" w14:textId="77777777" w:rsidR="00820150" w:rsidRDefault="00820150" w:rsidP="00820150">
      <w:pPr>
        <w:tabs>
          <w:tab w:val="left" w:pos="1843"/>
        </w:tabs>
        <w:jc w:val="right"/>
        <w:rPr>
          <w:rFonts w:ascii="Arial" w:hAnsi="Arial" w:cs="Arial"/>
          <w:color w:val="1F497D" w:themeColor="text2"/>
        </w:rPr>
      </w:pPr>
      <w:r w:rsidRPr="00820150">
        <w:rPr>
          <w:rFonts w:ascii="Arial" w:hAnsi="Arial" w:cs="Arial"/>
          <w:color w:val="1F497D" w:themeColor="text2"/>
        </w:rPr>
        <w:t>Párrafo reformado DOF 23-08-2005</w:t>
      </w:r>
    </w:p>
    <w:p w14:paraId="6D98A12B" w14:textId="77777777" w:rsidR="00820150" w:rsidRDefault="00820150" w:rsidP="00820150">
      <w:pPr>
        <w:tabs>
          <w:tab w:val="left" w:pos="1843"/>
        </w:tabs>
        <w:jc w:val="right"/>
        <w:rPr>
          <w:rFonts w:ascii="Arial" w:hAnsi="Arial" w:cs="Arial"/>
          <w:color w:val="1F497D" w:themeColor="text2"/>
        </w:rPr>
      </w:pPr>
    </w:p>
    <w:p w14:paraId="3F3D1C16" w14:textId="77777777" w:rsidR="00820150" w:rsidRDefault="00820150" w:rsidP="00820150">
      <w:pPr>
        <w:tabs>
          <w:tab w:val="left" w:pos="1843"/>
        </w:tabs>
        <w:jc w:val="both"/>
        <w:rPr>
          <w:rFonts w:ascii="Arial" w:hAnsi="Arial" w:cs="Arial"/>
          <w:color w:val="1F497D" w:themeColor="text2"/>
        </w:rPr>
      </w:pPr>
      <w:r w:rsidRPr="00820150">
        <w:rPr>
          <w:rFonts w:ascii="Arial" w:hAnsi="Arial" w:cs="Arial"/>
          <w:color w:val="1F497D" w:themeColor="text2"/>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0B19B80" w14:textId="77777777" w:rsidR="00820150" w:rsidRPr="00820150" w:rsidRDefault="00820150" w:rsidP="00820150">
      <w:pPr>
        <w:tabs>
          <w:tab w:val="left" w:pos="1843"/>
        </w:tabs>
        <w:jc w:val="right"/>
        <w:rPr>
          <w:rFonts w:ascii="Arial" w:hAnsi="Arial" w:cs="Arial"/>
          <w:color w:val="1F497D" w:themeColor="text2"/>
        </w:rPr>
      </w:pPr>
      <w:r w:rsidRPr="00820150">
        <w:rPr>
          <w:rFonts w:ascii="Arial" w:hAnsi="Arial" w:cs="Arial"/>
          <w:color w:val="1F497D" w:themeColor="text2"/>
        </w:rPr>
        <w:t>Párrafo reformado DOF 23-08-2005</w:t>
      </w:r>
    </w:p>
    <w:p w14:paraId="2946DB82" w14:textId="77777777" w:rsidR="00A77A9C" w:rsidRPr="003E2FF7" w:rsidRDefault="00A77A9C" w:rsidP="00A77A9C">
      <w:pPr>
        <w:jc w:val="both"/>
        <w:rPr>
          <w:rFonts w:ascii="Arial" w:hAnsi="Arial" w:cs="Arial"/>
        </w:rPr>
      </w:pPr>
    </w:p>
    <w:p w14:paraId="6F2A2F2C" w14:textId="77777777" w:rsidR="00A77A9C" w:rsidRPr="003E2FF7" w:rsidRDefault="00A77A9C" w:rsidP="00A77A9C">
      <w:pPr>
        <w:jc w:val="center"/>
        <w:rPr>
          <w:rFonts w:ascii="Arial" w:hAnsi="Arial" w:cs="Arial"/>
          <w:b/>
        </w:rPr>
      </w:pPr>
      <w:r w:rsidRPr="003E2FF7">
        <w:rPr>
          <w:rFonts w:ascii="Arial" w:hAnsi="Arial" w:cs="Arial"/>
          <w:b/>
        </w:rPr>
        <w:t>INCONFORMIDADES</w:t>
      </w:r>
    </w:p>
    <w:p w14:paraId="5997CC1D" w14:textId="77777777" w:rsidR="00A77A9C" w:rsidRPr="003E2FF7" w:rsidRDefault="00A77A9C" w:rsidP="00A77A9C">
      <w:pPr>
        <w:jc w:val="both"/>
        <w:rPr>
          <w:rFonts w:ascii="Arial" w:hAnsi="Arial" w:cs="Arial"/>
        </w:rPr>
      </w:pPr>
    </w:p>
    <w:p w14:paraId="067CEF73" w14:textId="77777777" w:rsidR="00A77A9C" w:rsidRPr="003E2FF7" w:rsidRDefault="5DEF6A54" w:rsidP="00A77A9C">
      <w:pPr>
        <w:jc w:val="both"/>
        <w:rPr>
          <w:rFonts w:ascii="Arial" w:hAnsi="Arial" w:cs="Arial"/>
        </w:rPr>
      </w:pPr>
      <w:r w:rsidRPr="5DEF6A54">
        <w:rPr>
          <w:rFonts w:ascii="Arial" w:hAnsi="Arial" w:cs="Arial"/>
        </w:rPr>
        <w:t xml:space="preserve">Las personas que participen en esta licitación, podrán inconformarse ante </w:t>
      </w:r>
      <w:r w:rsidRPr="00462D93">
        <w:rPr>
          <w:rFonts w:ascii="Arial" w:hAnsi="Arial" w:cs="Arial"/>
          <w:highlight w:val="yellow"/>
        </w:rPr>
        <w:t>El Órgano Interno de Control en esta Secretaría, cita en el Centro Nacional SCT, Av. Universidad y Xola, Cuerpo “A”, 1er. Piso, Ala Poniente, Col. Narvarte, Delegación Benito Juárez, C.P. 03020, en México, D. F.</w:t>
      </w:r>
      <w:r w:rsidRPr="5DEF6A54">
        <w:rPr>
          <w:rFonts w:ascii="Arial" w:hAnsi="Arial" w:cs="Arial"/>
        </w:rPr>
        <w:t xml:space="preserve"> o a través de los medios remotos de comunicación electrónica, de conformidad al Acuerdo publicado en el Diario Oficial de la Federación el 9 de agosto del 2000; de acuerdo a lo indicado en el segundo párrafo del artículo 83 de la “LEY”, dentro de los diez días </w:t>
      </w:r>
      <w:r w:rsidRPr="5DEF6A54">
        <w:rPr>
          <w:rFonts w:ascii="Arial" w:hAnsi="Arial" w:cs="Arial"/>
        </w:rPr>
        <w:lastRenderedPageBreak/>
        <w:t>hábiles siguientes a aquél en que ocurra el acto que se considere contravenga las disposiciones o el inconforme tenga conocimiento del mismo.</w:t>
      </w:r>
    </w:p>
    <w:p w14:paraId="110FFD37" w14:textId="77777777" w:rsidR="00A77A9C" w:rsidRDefault="00A77A9C" w:rsidP="00A77A9C">
      <w:pPr>
        <w:rPr>
          <w:rFonts w:ascii="Arial" w:hAnsi="Arial" w:cs="Arial"/>
        </w:rPr>
      </w:pPr>
    </w:p>
    <w:p w14:paraId="6B699379" w14:textId="77777777" w:rsidR="00A77A9C" w:rsidRDefault="00A77A9C" w:rsidP="00A77A9C">
      <w:pPr>
        <w:rPr>
          <w:rFonts w:ascii="Arial" w:hAnsi="Arial" w:cs="Arial"/>
        </w:rPr>
      </w:pPr>
    </w:p>
    <w:p w14:paraId="3FE9F23F" w14:textId="77777777" w:rsidR="00A77A9C" w:rsidRDefault="00A77A9C" w:rsidP="00A77A9C">
      <w:pPr>
        <w:rPr>
          <w:rFonts w:ascii="Arial" w:hAnsi="Arial" w:cs="Arial"/>
        </w:rPr>
      </w:pPr>
    </w:p>
    <w:sectPr w:rsidR="00A77A9C" w:rsidSect="009A1B36">
      <w:headerReference w:type="default" r:id="rId7"/>
      <w:footerReference w:type="default" r:id="rId8"/>
      <w:pgSz w:w="12240" w:h="15840" w:code="1"/>
      <w:pgMar w:top="2269" w:right="1134" w:bottom="1701" w:left="1134" w:header="113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CB3" w14:textId="77777777" w:rsidR="00816BD4" w:rsidRDefault="00816BD4" w:rsidP="006552F7">
      <w:r>
        <w:separator/>
      </w:r>
    </w:p>
  </w:endnote>
  <w:endnote w:type="continuationSeparator" w:id="0">
    <w:p w14:paraId="4B70502F" w14:textId="77777777" w:rsidR="00816BD4" w:rsidRDefault="00816BD4" w:rsidP="0065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3702"/>
      <w:docPartObj>
        <w:docPartGallery w:val="Page Numbers (Bottom of Page)"/>
        <w:docPartUnique/>
      </w:docPartObj>
    </w:sdtPr>
    <w:sdtEndPr>
      <w:rPr>
        <w:rFonts w:ascii="Montserrat SemiBold" w:hAnsi="Montserrat SemiBold"/>
        <w:b/>
        <w:color w:val="C39852"/>
        <w:sz w:val="15"/>
        <w:lang w:val="es-ES"/>
      </w:rPr>
    </w:sdtEndPr>
    <w:sdtContent>
      <w:bookmarkStart w:id="0" w:name="_Hlk144463935" w:displacedByCustomXml="prev"/>
      <w:bookmarkStart w:id="1" w:name="_Hlk144464056" w:displacedByCustomXml="prev"/>
      <w:p w14:paraId="64C32027" w14:textId="77777777" w:rsidR="009A1B36" w:rsidRDefault="009A1B36" w:rsidP="009A1B36">
        <w:pPr>
          <w:pStyle w:val="Piedepgina"/>
          <w:spacing w:line="288" w:lineRule="auto"/>
        </w:pPr>
        <w:r>
          <w:rPr>
            <w:rFonts w:ascii="Montserrat SemiBold" w:hAnsi="Montserrat SemiBold"/>
            <w:b/>
            <w:color w:val="C39852"/>
            <w:sz w:val="15"/>
            <w:lang w:val="es-ES"/>
          </w:rPr>
          <w:t xml:space="preserve">Avenida de los Insurgentes Sur 1089, Colonia Noche Buena, C.P. 03720                                                                       </w:t>
        </w:r>
        <w:r>
          <w:rPr>
            <w:rFonts w:ascii="Montserrat SemiBold" w:hAnsi="Montserrat SemiBold"/>
            <w:b/>
            <w:color w:val="C39852"/>
            <w:sz w:val="15"/>
          </w:rPr>
          <w:t xml:space="preserve">T: 01 (55) 5723 9300      </w:t>
        </w:r>
      </w:p>
      <w:p w14:paraId="2CB5595A" w14:textId="77777777" w:rsidR="009A1B36" w:rsidRDefault="009A1B36" w:rsidP="009A1B36">
        <w:pPr>
          <w:pStyle w:val="Piedepgina"/>
          <w:tabs>
            <w:tab w:val="left" w:pos="708"/>
          </w:tabs>
          <w:spacing w:line="288" w:lineRule="auto"/>
        </w:pPr>
        <w:r>
          <w:rPr>
            <w:rFonts w:ascii="Montserrat SemiBold" w:hAnsi="Montserrat SemiBold"/>
            <w:b/>
            <w:color w:val="C39852"/>
            <w:sz w:val="15"/>
            <w:lang w:val="es-ES"/>
          </w:rPr>
          <w:t xml:space="preserve"> Alcaldía Benito Juárez, CDMX.                                                                                                                                                     </w:t>
        </w:r>
        <w:r>
          <w:rPr>
            <w:rFonts w:ascii="Montserrat SemiBold" w:hAnsi="Montserrat SemiBold"/>
            <w:b/>
            <w:color w:val="C39852"/>
            <w:sz w:val="15"/>
          </w:rPr>
          <w:t>www.gob.mx/sct</w:t>
        </w:r>
        <w:bookmarkEnd w:id="0"/>
      </w:p>
      <w:bookmarkEnd w:id="1"/>
      <w:p w14:paraId="1F72F646" w14:textId="44319BB9" w:rsidR="006925A6" w:rsidRDefault="006925A6" w:rsidP="009A1B36">
        <w:pPr>
          <w:pStyle w:val="Piedepgina"/>
          <w:spacing w:line="288" w:lineRule="auto"/>
          <w:rPr>
            <w:rFonts w:ascii="Montserrat SemiBold" w:hAnsi="Montserrat SemiBold"/>
            <w:b/>
            <w:color w:val="C39852"/>
            <w:sz w:val="15"/>
            <w:lang w:val="es-ES"/>
          </w:rPr>
        </w:pPr>
      </w:p>
      <w:p w14:paraId="55730130" w14:textId="77777777" w:rsidR="009A1B36" w:rsidRPr="009A1B36" w:rsidRDefault="009A1B36" w:rsidP="009A1B36">
        <w:pPr>
          <w:pStyle w:val="Piedepgina"/>
          <w:spacing w:line="288" w:lineRule="auto"/>
          <w:rPr>
            <w:rFonts w:ascii="Montserrat SemiBold" w:hAnsi="Montserrat SemiBold"/>
            <w:b/>
            <w:color w:val="C39852"/>
            <w:sz w:val="11"/>
            <w:szCs w:val="18"/>
            <w:lang w:val="es-ES"/>
          </w:rPr>
        </w:pPr>
      </w:p>
      <w:p w14:paraId="6009B8D1" w14:textId="77777777" w:rsidR="00D665F5" w:rsidRPr="00D8227E" w:rsidRDefault="00D665F5" w:rsidP="00D8227E">
        <w:pPr>
          <w:pStyle w:val="Piedepgina"/>
          <w:spacing w:line="288" w:lineRule="auto"/>
          <w:rPr>
            <w:rFonts w:ascii="Montserrat SemiBold" w:hAnsi="Montserrat SemiBold"/>
            <w:b/>
            <w:color w:val="C39852"/>
            <w:sz w:val="15"/>
            <w:lang w:val="es-ES"/>
          </w:rPr>
        </w:pPr>
      </w:p>
      <w:p w14:paraId="3FE47315" w14:textId="27C59CB2" w:rsidR="00D665F5" w:rsidRPr="00D665F5" w:rsidRDefault="00176129" w:rsidP="00D665F5">
        <w:pPr>
          <w:pStyle w:val="Piedepgina"/>
          <w:tabs>
            <w:tab w:val="clear" w:pos="8838"/>
            <w:tab w:val="right" w:pos="9923"/>
          </w:tabs>
          <w:spacing w:line="288" w:lineRule="auto"/>
          <w:rPr>
            <w:rFonts w:ascii="Montserrat SemiBold" w:hAnsi="Montserrat SemiBold"/>
            <w:b/>
            <w:color w:val="C39852"/>
            <w:sz w:val="15"/>
            <w:lang w:val="es-ES"/>
          </w:rPr>
        </w:pPr>
        <w:r w:rsidRPr="00D8227E">
          <w:rPr>
            <w:rFonts w:ascii="Montserrat SemiBold" w:hAnsi="Montserrat SemiBold"/>
            <w:b/>
            <w:color w:val="C39852"/>
            <w:sz w:val="15"/>
            <w:lang w:val="es-ES"/>
          </w:rPr>
          <w:t>MP-</w:t>
        </w:r>
        <w:r w:rsidR="00BD3597" w:rsidRPr="00D8227E">
          <w:rPr>
            <w:rFonts w:ascii="Montserrat SemiBold" w:hAnsi="Montserrat SemiBold"/>
            <w:b/>
            <w:color w:val="C39852"/>
            <w:sz w:val="15"/>
            <w:lang w:val="es-ES"/>
          </w:rPr>
          <w:t>200</w:t>
        </w:r>
        <w:r w:rsidRPr="00D8227E">
          <w:rPr>
            <w:rFonts w:ascii="Montserrat SemiBold" w:hAnsi="Montserrat SemiBold"/>
            <w:b/>
            <w:color w:val="C39852"/>
            <w:sz w:val="15"/>
            <w:lang w:val="es-ES"/>
          </w:rPr>
          <w:t>-PR02-P01-F17</w:t>
        </w:r>
        <w:r w:rsidR="00D8227E">
          <w:rPr>
            <w:rFonts w:ascii="Montserrat SemiBold" w:hAnsi="Montserrat SemiBold"/>
            <w:b/>
            <w:color w:val="C39852"/>
            <w:sz w:val="15"/>
            <w:lang w:val="es-ES"/>
          </w:rPr>
          <w:tab/>
        </w:r>
        <w:r w:rsidR="00D665F5" w:rsidRPr="00D8227E">
          <w:rPr>
            <w:rFonts w:ascii="Montserrat SemiBold" w:hAnsi="Montserrat SemiBold"/>
            <w:b/>
            <w:color w:val="C39852"/>
            <w:sz w:val="15"/>
            <w:lang w:val="es-ES"/>
          </w:rPr>
          <w:t>FEBRERO 2022</w:t>
        </w:r>
        <w:r w:rsidR="00D665F5">
          <w:rPr>
            <w:rFonts w:ascii="Montserrat SemiBold" w:hAnsi="Montserrat SemiBold"/>
            <w:b/>
            <w:color w:val="C39852"/>
            <w:sz w:val="15"/>
            <w:lang w:val="es-ES"/>
          </w:rPr>
          <w:tab/>
        </w:r>
        <w:r w:rsidR="00D665F5" w:rsidRPr="00D8227E">
          <w:rPr>
            <w:rFonts w:ascii="Montserrat SemiBold" w:hAnsi="Montserrat SemiBold"/>
            <w:b/>
            <w:color w:val="C39852"/>
            <w:sz w:val="15"/>
            <w:lang w:val="es-ES"/>
          </w:rPr>
          <w:fldChar w:fldCharType="begin"/>
        </w:r>
        <w:r w:rsidR="00D665F5" w:rsidRPr="00D8227E">
          <w:rPr>
            <w:rFonts w:ascii="Montserrat SemiBold" w:hAnsi="Montserrat SemiBold"/>
            <w:b/>
            <w:color w:val="C39852"/>
            <w:sz w:val="15"/>
            <w:lang w:val="es-ES"/>
          </w:rPr>
          <w:instrText xml:space="preserve"> PAGE   \* MERGEFORMAT </w:instrText>
        </w:r>
        <w:r w:rsidR="00D665F5" w:rsidRPr="00D8227E">
          <w:rPr>
            <w:rFonts w:ascii="Montserrat SemiBold" w:hAnsi="Montserrat SemiBold"/>
            <w:b/>
            <w:color w:val="C39852"/>
            <w:sz w:val="15"/>
            <w:lang w:val="es-ES"/>
          </w:rPr>
          <w:fldChar w:fldCharType="separate"/>
        </w:r>
        <w:r w:rsidR="00D665F5">
          <w:rPr>
            <w:rFonts w:ascii="Montserrat SemiBold" w:hAnsi="Montserrat SemiBold"/>
            <w:b/>
            <w:color w:val="C39852"/>
            <w:sz w:val="15"/>
            <w:lang w:val="es-ES"/>
          </w:rPr>
          <w:t>1</w:t>
        </w:r>
        <w:r w:rsidR="00D665F5" w:rsidRPr="00D8227E">
          <w:rPr>
            <w:rFonts w:ascii="Montserrat SemiBold" w:hAnsi="Montserrat SemiBold"/>
            <w:b/>
            <w:color w:val="C39852"/>
            <w:sz w:val="15"/>
            <w:lang w:val="es-ES"/>
          </w:rPr>
          <w:fldChar w:fldCharType="end"/>
        </w:r>
        <w:r w:rsidR="00D665F5" w:rsidRPr="00D8227E">
          <w:rPr>
            <w:rFonts w:ascii="Montserrat SemiBold" w:hAnsi="Montserrat SemiBold"/>
            <w:b/>
            <w:color w:val="C39852"/>
            <w:sz w:val="15"/>
            <w:lang w:val="es-ES"/>
          </w:rPr>
          <w:t xml:space="preserve"> de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B7AC" w14:textId="77777777" w:rsidR="00816BD4" w:rsidRDefault="00816BD4" w:rsidP="006552F7">
      <w:r>
        <w:separator/>
      </w:r>
    </w:p>
  </w:footnote>
  <w:footnote w:type="continuationSeparator" w:id="0">
    <w:p w14:paraId="6B78BB06" w14:textId="77777777" w:rsidR="00816BD4" w:rsidRDefault="00816BD4" w:rsidP="0065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6C67" w14:textId="5168125F" w:rsidR="00751966" w:rsidRDefault="009A1B36" w:rsidP="00047E2B">
    <w:pPr>
      <w:pStyle w:val="Encabezado"/>
      <w:tabs>
        <w:tab w:val="clear" w:pos="4419"/>
        <w:tab w:val="clear" w:pos="8838"/>
        <w:tab w:val="center" w:pos="4464"/>
      </w:tabs>
      <w:ind w:left="108"/>
      <w:jc w:val="right"/>
      <w:rPr>
        <w:rFonts w:ascii="Times New Roman" w:eastAsia="Times New Roman" w:hAnsi="Times New Roman" w:cs="Times New Roman"/>
        <w:sz w:val="20"/>
        <w:szCs w:val="20"/>
        <w:lang w:val="es-ES" w:eastAsia="es-ES"/>
      </w:rPr>
    </w:pPr>
    <w:r>
      <w:rPr>
        <w:noProof/>
      </w:rPr>
      <w:drawing>
        <wp:anchor distT="0" distB="0" distL="114300" distR="114300" simplePos="0" relativeHeight="251659264" behindDoc="1" locked="0" layoutInCell="1" allowOverlap="1" wp14:anchorId="2095AD8A" wp14:editId="25496E5D">
          <wp:simplePos x="0" y="0"/>
          <wp:positionH relativeFrom="page">
            <wp:align>right</wp:align>
          </wp:positionH>
          <wp:positionV relativeFrom="page">
            <wp:align>top</wp:align>
          </wp:positionV>
          <wp:extent cx="7772400" cy="10058400"/>
          <wp:effectExtent l="0" t="0" r="0" b="0"/>
          <wp:wrapNone/>
          <wp:docPr id="209666429" name="Imagen 20966642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30A5CCEE" w14:textId="245C5BB8" w:rsidR="00047E2B" w:rsidRDefault="00047E2B" w:rsidP="00047E2B">
    <w:pPr>
      <w:pStyle w:val="Encabezado"/>
      <w:tabs>
        <w:tab w:val="clear" w:pos="4419"/>
        <w:tab w:val="clear" w:pos="8838"/>
        <w:tab w:val="center" w:pos="4464"/>
      </w:tabs>
      <w:ind w:left="108"/>
      <w:jc w:val="right"/>
    </w:pPr>
    <w:r>
      <w:rPr>
        <w:rFonts w:ascii="Times New Roman" w:eastAsia="Times New Roman" w:hAnsi="Times New Roman" w:cs="Times New Roman"/>
        <w:sz w:val="20"/>
        <w:szCs w:val="20"/>
        <w:lang w:val="es-ES" w:eastAsia="es-ES"/>
      </w:rPr>
      <w:tab/>
    </w:r>
  </w:p>
  <w:p w14:paraId="63B3901D" w14:textId="77777777" w:rsidR="00047E2B" w:rsidRDefault="00047E2B" w:rsidP="00047E2B">
    <w:pPr>
      <w:pStyle w:val="Encabezado"/>
      <w:tabs>
        <w:tab w:val="clear" w:pos="4419"/>
        <w:tab w:val="clear" w:pos="8838"/>
        <w:tab w:val="right" w:pos="4464"/>
      </w:tabs>
      <w:ind w:left="108"/>
      <w:jc w:val="right"/>
      <w:rPr>
        <w:rFonts w:ascii="Times New Roman" w:eastAsia="Times New Roman" w:hAnsi="Times New Roman" w:cs="Arial"/>
        <w:color w:val="808080" w:themeColor="background1" w:themeShade="80"/>
        <w:sz w:val="16"/>
        <w:szCs w:val="16"/>
        <w:lang w:val="es-ES" w:eastAsia="es-ES"/>
      </w:rPr>
    </w:pPr>
    <w:r>
      <w:rPr>
        <w:rFonts w:ascii="Times New Roman" w:eastAsia="Times New Roman" w:hAnsi="Times New Roman" w:cs="Times New Roman"/>
        <w:sz w:val="20"/>
        <w:szCs w:val="20"/>
        <w:lang w:val="es-ES" w:eastAsia="es-ES"/>
      </w:rPr>
      <w:tab/>
    </w:r>
  </w:p>
  <w:p w14:paraId="10FED962" w14:textId="37F85585" w:rsidR="00047E2B" w:rsidRDefault="00047E2B" w:rsidP="009A1B36">
    <w:pPr>
      <w:pStyle w:val="Encabezado"/>
      <w:tabs>
        <w:tab w:val="clear" w:pos="8838"/>
        <w:tab w:val="right" w:pos="9356"/>
      </w:tabs>
      <w:jc w:val="right"/>
      <w:rPr>
        <w:rFonts w:ascii="Times New Roman" w:eastAsia="Times New Roman" w:hAnsi="Times New Roman"/>
        <w:sz w:val="20"/>
        <w:szCs w:val="20"/>
        <w:lang w:val="es-ES" w:eastAsia="es-ES"/>
      </w:rPr>
    </w:pPr>
    <w:r>
      <w:rPr>
        <w:rFonts w:ascii="Times New Roman" w:eastAsia="Times New Roman" w:hAnsi="Times New Roman" w:cs="Times New Roman"/>
        <w:sz w:val="20"/>
        <w:szCs w:val="20"/>
        <w:lang w:val="es-ES" w:eastAsia="es-ES"/>
      </w:rPr>
      <w:tab/>
    </w:r>
  </w:p>
  <w:p w14:paraId="6537F28F" w14:textId="77777777" w:rsidR="006552F7" w:rsidRPr="00C56EB7" w:rsidRDefault="006552F7" w:rsidP="00047E2B">
    <w:pPr>
      <w:pStyle w:val="Encabezado"/>
      <w:jc w:val="right"/>
      <w:rPr>
        <w:rFonts w:ascii="Arial" w:hAnsi="Arial" w:cs="Arial"/>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E03C2"/>
    <w:multiLevelType w:val="hybridMultilevel"/>
    <w:tmpl w:val="536A846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31DC07A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7CD68D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45341BDB"/>
    <w:multiLevelType w:val="singleLevel"/>
    <w:tmpl w:val="0C0A0013"/>
    <w:lvl w:ilvl="0">
      <w:start w:val="1"/>
      <w:numFmt w:val="upperRoman"/>
      <w:lvlText w:val="%1."/>
      <w:lvlJc w:val="left"/>
      <w:pPr>
        <w:tabs>
          <w:tab w:val="num" w:pos="720"/>
        </w:tabs>
        <w:ind w:left="720" w:hanging="720"/>
      </w:pPr>
    </w:lvl>
  </w:abstractNum>
  <w:abstractNum w:abstractNumId="4" w15:restartNumberingAfterBreak="0">
    <w:nsid w:val="4E054F5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4212A82"/>
    <w:multiLevelType w:val="singleLevel"/>
    <w:tmpl w:val="0C0A0013"/>
    <w:lvl w:ilvl="0">
      <w:start w:val="1"/>
      <w:numFmt w:val="upperRoman"/>
      <w:lvlText w:val="%1."/>
      <w:lvlJc w:val="left"/>
      <w:pPr>
        <w:tabs>
          <w:tab w:val="num" w:pos="1004"/>
        </w:tabs>
        <w:ind w:left="1004" w:hanging="720"/>
      </w:pPr>
    </w:lvl>
  </w:abstractNum>
  <w:abstractNum w:abstractNumId="6" w15:restartNumberingAfterBreak="0">
    <w:nsid w:val="63A80138"/>
    <w:multiLevelType w:val="hybridMultilevel"/>
    <w:tmpl w:val="87A8C94A"/>
    <w:lvl w:ilvl="0" w:tplc="DE7A91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65773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16cid:durableId="41178500">
    <w:abstractNumId w:val="0"/>
  </w:num>
  <w:num w:numId="2" w16cid:durableId="1893271467">
    <w:abstractNumId w:val="7"/>
  </w:num>
  <w:num w:numId="3" w16cid:durableId="304088583">
    <w:abstractNumId w:val="1"/>
  </w:num>
  <w:num w:numId="4" w16cid:durableId="1059285998">
    <w:abstractNumId w:val="2"/>
  </w:num>
  <w:num w:numId="5" w16cid:durableId="1464076763">
    <w:abstractNumId w:val="4"/>
  </w:num>
  <w:num w:numId="6" w16cid:durableId="1256981534">
    <w:abstractNumId w:val="3"/>
  </w:num>
  <w:num w:numId="7" w16cid:durableId="1993483324">
    <w:abstractNumId w:val="5"/>
  </w:num>
  <w:num w:numId="8" w16cid:durableId="2114394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F7"/>
    <w:rsid w:val="00001B38"/>
    <w:rsid w:val="00022ADE"/>
    <w:rsid w:val="00032855"/>
    <w:rsid w:val="00032BA2"/>
    <w:rsid w:val="00034EF5"/>
    <w:rsid w:val="00047E2B"/>
    <w:rsid w:val="000642E7"/>
    <w:rsid w:val="00096B8B"/>
    <w:rsid w:val="000A6C99"/>
    <w:rsid w:val="000D1F86"/>
    <w:rsid w:val="001735C6"/>
    <w:rsid w:val="00176129"/>
    <w:rsid w:val="002132AF"/>
    <w:rsid w:val="00220C02"/>
    <w:rsid w:val="002348B3"/>
    <w:rsid w:val="00261B77"/>
    <w:rsid w:val="00323140"/>
    <w:rsid w:val="00357BFE"/>
    <w:rsid w:val="00380DA7"/>
    <w:rsid w:val="0039066D"/>
    <w:rsid w:val="00402136"/>
    <w:rsid w:val="0043287B"/>
    <w:rsid w:val="00462D93"/>
    <w:rsid w:val="004C2AE1"/>
    <w:rsid w:val="0050197B"/>
    <w:rsid w:val="005060B7"/>
    <w:rsid w:val="00526077"/>
    <w:rsid w:val="00544F50"/>
    <w:rsid w:val="0055381A"/>
    <w:rsid w:val="005675E4"/>
    <w:rsid w:val="005B2C14"/>
    <w:rsid w:val="005B336C"/>
    <w:rsid w:val="005B3672"/>
    <w:rsid w:val="00644639"/>
    <w:rsid w:val="00653FA3"/>
    <w:rsid w:val="006552F7"/>
    <w:rsid w:val="006925A6"/>
    <w:rsid w:val="006D25E2"/>
    <w:rsid w:val="006E191F"/>
    <w:rsid w:val="00703967"/>
    <w:rsid w:val="00707F5F"/>
    <w:rsid w:val="00751966"/>
    <w:rsid w:val="0076024B"/>
    <w:rsid w:val="00761C6A"/>
    <w:rsid w:val="0076695E"/>
    <w:rsid w:val="007729D8"/>
    <w:rsid w:val="00774A27"/>
    <w:rsid w:val="007A365B"/>
    <w:rsid w:val="007A5916"/>
    <w:rsid w:val="00816BD4"/>
    <w:rsid w:val="00820150"/>
    <w:rsid w:val="0083228D"/>
    <w:rsid w:val="008437CE"/>
    <w:rsid w:val="00855342"/>
    <w:rsid w:val="008903E2"/>
    <w:rsid w:val="008A37F8"/>
    <w:rsid w:val="008E0FCE"/>
    <w:rsid w:val="009A1B36"/>
    <w:rsid w:val="009B20BC"/>
    <w:rsid w:val="009D2857"/>
    <w:rsid w:val="009D4BD9"/>
    <w:rsid w:val="009D707D"/>
    <w:rsid w:val="00A03E3C"/>
    <w:rsid w:val="00A21B3A"/>
    <w:rsid w:val="00A24769"/>
    <w:rsid w:val="00A73849"/>
    <w:rsid w:val="00A77A9C"/>
    <w:rsid w:val="00A93BCC"/>
    <w:rsid w:val="00AB439F"/>
    <w:rsid w:val="00AF2873"/>
    <w:rsid w:val="00AF3278"/>
    <w:rsid w:val="00B0467B"/>
    <w:rsid w:val="00B95CF7"/>
    <w:rsid w:val="00BB0644"/>
    <w:rsid w:val="00BD0F88"/>
    <w:rsid w:val="00BD3597"/>
    <w:rsid w:val="00BD531D"/>
    <w:rsid w:val="00C03A26"/>
    <w:rsid w:val="00C03B93"/>
    <w:rsid w:val="00C56EB7"/>
    <w:rsid w:val="00CC51F6"/>
    <w:rsid w:val="00CE1F50"/>
    <w:rsid w:val="00D254ED"/>
    <w:rsid w:val="00D5005C"/>
    <w:rsid w:val="00D665F5"/>
    <w:rsid w:val="00D72C87"/>
    <w:rsid w:val="00D8227E"/>
    <w:rsid w:val="00D87625"/>
    <w:rsid w:val="00DA6125"/>
    <w:rsid w:val="00E356B4"/>
    <w:rsid w:val="00E426B7"/>
    <w:rsid w:val="00E45608"/>
    <w:rsid w:val="00E624FF"/>
    <w:rsid w:val="00ED3991"/>
    <w:rsid w:val="00F012D5"/>
    <w:rsid w:val="00F32B14"/>
    <w:rsid w:val="00F51FB8"/>
    <w:rsid w:val="00FD20E1"/>
    <w:rsid w:val="5DEF6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3028"/>
  <w15:docId w15:val="{1082F635-A4BC-4B3B-820A-A75F497E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3A"/>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21B3A"/>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52F7"/>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6552F7"/>
  </w:style>
  <w:style w:type="paragraph" w:styleId="Piedepgina">
    <w:name w:val="footer"/>
    <w:basedOn w:val="Normal"/>
    <w:link w:val="PiedepginaCar"/>
    <w:uiPriority w:val="99"/>
    <w:unhideWhenUsed/>
    <w:rsid w:val="006552F7"/>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6552F7"/>
  </w:style>
  <w:style w:type="paragraph" w:styleId="Textodeglobo">
    <w:name w:val="Balloon Text"/>
    <w:basedOn w:val="Normal"/>
    <w:link w:val="TextodegloboCar"/>
    <w:uiPriority w:val="99"/>
    <w:semiHidden/>
    <w:unhideWhenUsed/>
    <w:rsid w:val="006552F7"/>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6552F7"/>
    <w:rPr>
      <w:rFonts w:ascii="Tahoma" w:hAnsi="Tahoma" w:cs="Tahoma"/>
      <w:sz w:val="16"/>
      <w:szCs w:val="16"/>
    </w:rPr>
  </w:style>
  <w:style w:type="character" w:customStyle="1" w:styleId="Ttulo1Car">
    <w:name w:val="Título 1 Car"/>
    <w:basedOn w:val="Fuentedeprrafopredeter"/>
    <w:link w:val="Ttulo1"/>
    <w:rsid w:val="00A21B3A"/>
    <w:rPr>
      <w:rFonts w:ascii="Times New Roman" w:eastAsia="Times New Roman" w:hAnsi="Times New Roman" w:cs="Times New Roman"/>
      <w:b/>
      <w:sz w:val="20"/>
      <w:szCs w:val="20"/>
      <w:lang w:val="es-ES" w:eastAsia="es-ES"/>
    </w:rPr>
  </w:style>
  <w:style w:type="paragraph" w:styleId="Textoindependiente">
    <w:name w:val="Body Text"/>
    <w:basedOn w:val="Normal"/>
    <w:link w:val="TextoindependienteCar"/>
    <w:rsid w:val="00A21B3A"/>
    <w:pPr>
      <w:jc w:val="both"/>
    </w:pPr>
  </w:style>
  <w:style w:type="character" w:customStyle="1" w:styleId="TextoindependienteCar">
    <w:name w:val="Texto independiente Car"/>
    <w:basedOn w:val="Fuentedeprrafopredeter"/>
    <w:link w:val="Textoindependiente"/>
    <w:rsid w:val="00A21B3A"/>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AF287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F2873"/>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C56E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ial11">
    <w:name w:val="Arial 11"/>
    <w:basedOn w:val="Fuentedeprrafopredeter"/>
    <w:uiPriority w:val="1"/>
    <w:rsid w:val="00C56EB7"/>
    <w:rPr>
      <w:rFonts w:ascii="Arial" w:hAnsi="Arial"/>
      <w:sz w:val="22"/>
    </w:rPr>
  </w:style>
  <w:style w:type="paragraph" w:styleId="Prrafodelista">
    <w:name w:val="List Paragraph"/>
    <w:basedOn w:val="Normal"/>
    <w:uiPriority w:val="34"/>
    <w:qFormat/>
    <w:rsid w:val="00707F5F"/>
    <w:pPr>
      <w:ind w:left="720"/>
      <w:contextualSpacing/>
    </w:p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32D6CBBC9A4486A3C596F607555E3F"/>
        <w:category>
          <w:name w:val="General"/>
          <w:gallery w:val="placeholder"/>
        </w:category>
        <w:types>
          <w:type w:val="bbPlcHdr"/>
        </w:types>
        <w:behaviors>
          <w:behavior w:val="content"/>
        </w:behaviors>
        <w:guid w:val="{B652F9BA-CEC2-4F11-99F4-E6D9D8205496}"/>
      </w:docPartPr>
      <w:docPartBody>
        <w:p w:rsidR="00B6246D" w:rsidRDefault="00B6246D" w:rsidP="00B6246D">
          <w:pPr>
            <w:pStyle w:val="FE32D6CBBC9A4486A3C596F607555E3F"/>
          </w:pPr>
          <w:r w:rsidRPr="00A558E1">
            <w:rPr>
              <w:rStyle w:val="Arial11"/>
              <w:i/>
              <w:color w:val="808080" w:themeColor="background1" w:themeShade="80"/>
              <w:sz w:val="16"/>
              <w:szCs w:val="16"/>
            </w:rPr>
            <w:t>(1 Subsecretaría, Oficialía Mayor o Coordinación)</w:t>
          </w:r>
        </w:p>
      </w:docPartBody>
    </w:docPart>
    <w:docPart>
      <w:docPartPr>
        <w:name w:val="564DA0559B25473B9A9D986F4A77223D"/>
        <w:category>
          <w:name w:val="General"/>
          <w:gallery w:val="placeholder"/>
        </w:category>
        <w:types>
          <w:type w:val="bbPlcHdr"/>
        </w:types>
        <w:behaviors>
          <w:behavior w:val="content"/>
        </w:behaviors>
        <w:guid w:val="{BF0AE579-0342-4413-815C-95FAC2BFBD42}"/>
      </w:docPartPr>
      <w:docPartBody>
        <w:p w:rsidR="00B6246D" w:rsidRDefault="00B6246D" w:rsidP="00B6246D">
          <w:pPr>
            <w:pStyle w:val="564DA0559B25473B9A9D986F4A77223D"/>
          </w:pPr>
          <w:r>
            <w:rPr>
              <w:rFonts w:ascii="Arial" w:hAnsi="Arial" w:cs="Arial"/>
              <w:i/>
              <w:color w:val="808080" w:themeColor="background1" w:themeShade="80"/>
              <w:sz w:val="16"/>
              <w:szCs w:val="16"/>
            </w:rPr>
            <w:t>(2 Nombre de la Unidad Administrativa responsable de la contratación)</w:t>
          </w:r>
        </w:p>
      </w:docPartBody>
    </w:docPart>
    <w:docPart>
      <w:docPartPr>
        <w:name w:val="BC186A480A61439194D9019A7CA93E75"/>
        <w:category>
          <w:name w:val="General"/>
          <w:gallery w:val="placeholder"/>
        </w:category>
        <w:types>
          <w:type w:val="bbPlcHdr"/>
        </w:types>
        <w:behaviors>
          <w:behavior w:val="content"/>
        </w:behaviors>
        <w:guid w:val="{D0EED14C-B63E-43E2-93DA-EE03B94F8437}"/>
      </w:docPartPr>
      <w:docPartBody>
        <w:p w:rsidR="00B6246D" w:rsidRDefault="00B6246D" w:rsidP="00B6246D">
          <w:pPr>
            <w:pStyle w:val="BC186A480A61439194D9019A7CA93E75"/>
          </w:pPr>
          <w:r w:rsidRPr="00A558E1">
            <w:rPr>
              <w:rStyle w:val="Arial11"/>
              <w:i/>
              <w:color w:val="808080" w:themeColor="background1" w:themeShade="80"/>
              <w:sz w:val="16"/>
              <w:szCs w:val="16"/>
            </w:rPr>
            <w:t>(3 Nombre del área responsable de la contratación)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290C"/>
    <w:rsid w:val="00424196"/>
    <w:rsid w:val="006B48CE"/>
    <w:rsid w:val="007249DB"/>
    <w:rsid w:val="0089728E"/>
    <w:rsid w:val="008A290C"/>
    <w:rsid w:val="00937734"/>
    <w:rsid w:val="00A71179"/>
    <w:rsid w:val="00B6246D"/>
    <w:rsid w:val="00BE1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rial11">
    <w:name w:val="Arial 11"/>
    <w:basedOn w:val="Fuentedeprrafopredeter"/>
    <w:uiPriority w:val="1"/>
    <w:rsid w:val="00B6246D"/>
    <w:rPr>
      <w:rFonts w:ascii="Arial" w:hAnsi="Arial"/>
      <w:sz w:val="22"/>
    </w:rPr>
  </w:style>
  <w:style w:type="paragraph" w:customStyle="1" w:styleId="FE32D6CBBC9A4486A3C596F607555E3F">
    <w:name w:val="FE32D6CBBC9A4486A3C596F607555E3F"/>
    <w:rsid w:val="00B6246D"/>
    <w:pPr>
      <w:spacing w:after="160" w:line="259" w:lineRule="auto"/>
    </w:pPr>
    <w:rPr>
      <w:kern w:val="2"/>
      <w14:ligatures w14:val="standardContextual"/>
    </w:rPr>
  </w:style>
  <w:style w:type="paragraph" w:customStyle="1" w:styleId="564DA0559B25473B9A9D986F4A77223D">
    <w:name w:val="564DA0559B25473B9A9D986F4A77223D"/>
    <w:rsid w:val="00B6246D"/>
    <w:pPr>
      <w:spacing w:after="160" w:line="259" w:lineRule="auto"/>
    </w:pPr>
    <w:rPr>
      <w:kern w:val="2"/>
      <w14:ligatures w14:val="standardContextual"/>
    </w:rPr>
  </w:style>
  <w:style w:type="paragraph" w:customStyle="1" w:styleId="BC186A480A61439194D9019A7CA93E75">
    <w:name w:val="BC186A480A61439194D9019A7CA93E75"/>
    <w:rsid w:val="00B624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1521</Words>
  <Characters>8368</Characters>
  <Application>Microsoft Office Word</Application>
  <DocSecurity>0</DocSecurity>
  <Lines>69</Lines>
  <Paragraphs>19</Paragraphs>
  <ScaleCrop>false</ScaleCrop>
  <Company>Hewlett-Packard</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Eduardo Lee Sainz</cp:lastModifiedBy>
  <cp:revision>17</cp:revision>
  <dcterms:created xsi:type="dcterms:W3CDTF">2022-02-23T19:30:00Z</dcterms:created>
  <dcterms:modified xsi:type="dcterms:W3CDTF">2023-09-12T19:09:00Z</dcterms:modified>
</cp:coreProperties>
</file>